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156" w:line="1000" w:lineRule="exact"/>
        <w:ind w:left="-480" w:leftChars="-200" w:right="-480" w:rightChars="-200" w:firstLine="0" w:firstLineChars="0"/>
        <w:jc w:val="center"/>
        <w:rPr>
          <w:rFonts w:hint="eastAsia" w:eastAsia="黑体"/>
          <w:b/>
          <w:bCs/>
          <w:sz w:val="44"/>
          <w:szCs w:val="44"/>
          <w:lang w:eastAsia="zh-CN"/>
        </w:rPr>
      </w:pPr>
      <w:r>
        <w:rPr>
          <w:rFonts w:hint="eastAsia" w:eastAsia="黑体"/>
          <w:b/>
          <w:bCs/>
          <w:sz w:val="44"/>
          <w:szCs w:val="44"/>
          <w:lang w:eastAsia="zh-CN"/>
        </w:rPr>
        <w:t>甘孜雅江柯拉35千伏输变电工程</w:t>
      </w:r>
    </w:p>
    <w:p>
      <w:pPr>
        <w:widowControl w:val="0"/>
        <w:adjustRightInd/>
        <w:snapToGrid/>
        <w:spacing w:before="156" w:line="1000" w:lineRule="exact"/>
        <w:ind w:left="-480" w:leftChars="-200" w:right="-480" w:rightChars="-200" w:firstLine="0" w:firstLineChars="0"/>
        <w:jc w:val="center"/>
        <w:rPr>
          <w:rFonts w:eastAsia="黑体"/>
          <w:b/>
          <w:sz w:val="72"/>
          <w:szCs w:val="72"/>
        </w:rPr>
      </w:pPr>
      <w:r>
        <w:rPr>
          <w:rFonts w:eastAsia="黑体"/>
          <w:b/>
          <w:sz w:val="72"/>
          <w:szCs w:val="72"/>
        </w:rPr>
        <w:t>水土保持设施验收报告</w:t>
      </w:r>
    </w:p>
    <w:p>
      <w:pPr>
        <w:spacing w:before="156"/>
        <w:ind w:firstLine="480"/>
      </w:pPr>
    </w:p>
    <w:p>
      <w:pPr>
        <w:spacing w:before="156"/>
        <w:ind w:firstLine="480"/>
      </w:pPr>
    </w:p>
    <w:p>
      <w:pPr>
        <w:spacing w:before="156"/>
        <w:ind w:firstLine="480"/>
      </w:pPr>
    </w:p>
    <w:p>
      <w:pPr>
        <w:spacing w:before="156"/>
        <w:ind w:firstLine="480"/>
      </w:pPr>
    </w:p>
    <w:p>
      <w:pPr>
        <w:spacing w:before="156"/>
        <w:ind w:firstLine="480"/>
      </w:pPr>
    </w:p>
    <w:p>
      <w:pPr>
        <w:spacing w:before="156"/>
        <w:ind w:firstLine="480"/>
      </w:pPr>
    </w:p>
    <w:p>
      <w:pPr>
        <w:spacing w:before="156"/>
        <w:ind w:firstLine="480"/>
      </w:pPr>
    </w:p>
    <w:p>
      <w:pPr>
        <w:spacing w:before="156"/>
        <w:ind w:firstLine="480"/>
      </w:pPr>
    </w:p>
    <w:p>
      <w:pPr>
        <w:spacing w:before="156"/>
        <w:ind w:firstLine="480"/>
      </w:pPr>
    </w:p>
    <w:p>
      <w:pPr>
        <w:spacing w:before="156"/>
        <w:ind w:firstLine="480"/>
      </w:pPr>
    </w:p>
    <w:p>
      <w:pPr>
        <w:spacing w:before="156"/>
        <w:ind w:firstLine="480"/>
      </w:pPr>
    </w:p>
    <w:p>
      <w:pPr>
        <w:spacing w:before="156"/>
        <w:ind w:firstLine="480"/>
      </w:pPr>
    </w:p>
    <w:p>
      <w:pPr>
        <w:spacing w:before="156"/>
        <w:ind w:firstLine="480"/>
      </w:pPr>
    </w:p>
    <w:p>
      <w:pPr>
        <w:spacing w:before="156"/>
        <w:ind w:firstLine="480"/>
      </w:pPr>
    </w:p>
    <w:tbl>
      <w:tblPr>
        <w:tblStyle w:val="33"/>
        <w:tblW w:w="65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1" w:type="dxa"/>
          <w:bottom w:w="0" w:type="dxa"/>
          <w:right w:w="11" w:type="dxa"/>
        </w:tblCellMar>
      </w:tblPr>
      <w:tblGrid>
        <w:gridCol w:w="1655"/>
        <w:gridCol w:w="48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1655" w:type="dxa"/>
          </w:tcPr>
          <w:p>
            <w:pPr>
              <w:keepNext w:val="0"/>
              <w:keepLines w:val="0"/>
              <w:widowControl w:val="0"/>
              <w:suppressLineNumbers w:val="0"/>
              <w:adjustRightInd/>
              <w:spacing w:before="0" w:beforeLines="40" w:beforeAutospacing="0" w:after="0" w:afterAutospacing="0" w:line="240" w:lineRule="auto"/>
              <w:ind w:left="0" w:right="0" w:firstLine="0" w:firstLineChars="0"/>
              <w:jc w:val="distribute"/>
              <w:rPr>
                <w:rFonts w:eastAsiaTheme="majorEastAsia"/>
                <w:bCs/>
                <w:sz w:val="32"/>
                <w:szCs w:val="32"/>
              </w:rPr>
            </w:pPr>
            <w:r>
              <w:rPr>
                <w:rFonts w:eastAsiaTheme="majorEastAsia"/>
                <w:bCs/>
                <w:sz w:val="32"/>
                <w:szCs w:val="32"/>
              </w:rPr>
              <w:t>建设单位：</w:t>
            </w:r>
            <w:r>
              <w:rPr>
                <w:rFonts w:eastAsiaTheme="majorEastAsia"/>
                <w:bCs/>
                <w:sz w:val="32"/>
                <w:szCs w:val="32"/>
                <w:vertAlign w:val="superscript"/>
              </w:rPr>
              <w:t xml:space="preserve"> </w:t>
            </w:r>
          </w:p>
        </w:tc>
        <w:tc>
          <w:tcPr>
            <w:tcW w:w="4857" w:type="dxa"/>
          </w:tcPr>
          <w:p>
            <w:pPr>
              <w:keepNext w:val="0"/>
              <w:keepLines w:val="0"/>
              <w:widowControl w:val="0"/>
              <w:suppressLineNumbers w:val="0"/>
              <w:adjustRightInd/>
              <w:spacing w:before="0" w:beforeLines="40" w:beforeAutospacing="0" w:after="0" w:afterAutospacing="0" w:line="240" w:lineRule="auto"/>
              <w:ind w:left="0" w:right="0" w:firstLine="0" w:firstLineChars="0"/>
              <w:jc w:val="distribute"/>
              <w:rPr>
                <w:rFonts w:eastAsiaTheme="majorEastAsia"/>
                <w:bCs/>
                <w:sz w:val="32"/>
                <w:szCs w:val="32"/>
              </w:rPr>
            </w:pPr>
            <w:r>
              <w:rPr>
                <w:rFonts w:eastAsiaTheme="majorEastAsia"/>
                <w:bCs/>
                <w:sz w:val="32"/>
                <w:szCs w:val="32"/>
              </w:rPr>
              <w:t>国网四川省电力公司甘孜供电公司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1" w:type="dxa"/>
            <w:bottom w:w="0" w:type="dxa"/>
            <w:right w:w="11" w:type="dxa"/>
          </w:tblCellMar>
        </w:tblPrEx>
        <w:trPr>
          <w:jc w:val="center"/>
        </w:trPr>
        <w:tc>
          <w:tcPr>
            <w:tcW w:w="1655" w:type="dxa"/>
          </w:tcPr>
          <w:p>
            <w:pPr>
              <w:keepNext w:val="0"/>
              <w:keepLines w:val="0"/>
              <w:widowControl w:val="0"/>
              <w:suppressLineNumbers w:val="0"/>
              <w:adjustRightInd/>
              <w:spacing w:before="0" w:beforeLines="40" w:beforeAutospacing="0" w:after="0" w:afterAutospacing="0" w:line="240" w:lineRule="auto"/>
              <w:ind w:left="0" w:right="0" w:firstLine="0" w:firstLineChars="0"/>
              <w:jc w:val="distribute"/>
              <w:rPr>
                <w:rFonts w:eastAsiaTheme="majorEastAsia"/>
                <w:bCs/>
                <w:sz w:val="32"/>
                <w:szCs w:val="32"/>
              </w:rPr>
            </w:pPr>
            <w:r>
              <w:rPr>
                <w:rFonts w:eastAsiaTheme="majorEastAsia"/>
                <w:bCs/>
                <w:sz w:val="32"/>
                <w:szCs w:val="32"/>
              </w:rPr>
              <w:t>编制单位：</w:t>
            </w:r>
            <w:r>
              <w:rPr>
                <w:rFonts w:eastAsiaTheme="majorEastAsia"/>
                <w:bCs/>
                <w:sz w:val="32"/>
                <w:szCs w:val="32"/>
                <w:vertAlign w:val="superscript"/>
              </w:rPr>
              <w:t xml:space="preserve"> </w:t>
            </w:r>
          </w:p>
        </w:tc>
        <w:tc>
          <w:tcPr>
            <w:tcW w:w="4857" w:type="dxa"/>
          </w:tcPr>
          <w:p>
            <w:pPr>
              <w:keepNext w:val="0"/>
              <w:keepLines w:val="0"/>
              <w:widowControl w:val="0"/>
              <w:suppressLineNumbers w:val="0"/>
              <w:adjustRightInd/>
              <w:spacing w:before="0" w:beforeLines="40" w:beforeAutospacing="0" w:after="0" w:afterAutospacing="0" w:line="240" w:lineRule="auto"/>
              <w:ind w:left="0" w:right="0" w:firstLine="0" w:firstLineChars="0"/>
              <w:jc w:val="distribute"/>
              <w:rPr>
                <w:rFonts w:eastAsiaTheme="majorEastAsia"/>
                <w:bCs/>
                <w:sz w:val="32"/>
                <w:szCs w:val="32"/>
              </w:rPr>
            </w:pPr>
            <w:r>
              <w:rPr>
                <w:rFonts w:eastAsiaTheme="majorEastAsia"/>
                <w:bCs/>
                <w:sz w:val="32"/>
                <w:szCs w:val="32"/>
              </w:rPr>
              <w:t>浙江中水工程技术有限公司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1" w:type="dxa"/>
            <w:bottom w:w="0" w:type="dxa"/>
            <w:right w:w="11" w:type="dxa"/>
          </w:tblCellMar>
        </w:tblPrEx>
        <w:trPr>
          <w:jc w:val="center"/>
        </w:trPr>
        <w:tc>
          <w:tcPr>
            <w:tcW w:w="6512" w:type="dxa"/>
            <w:gridSpan w:val="2"/>
          </w:tcPr>
          <w:p>
            <w:pPr>
              <w:keepNext w:val="0"/>
              <w:keepLines w:val="0"/>
              <w:widowControl w:val="0"/>
              <w:suppressLineNumbers w:val="0"/>
              <w:adjustRightInd/>
              <w:spacing w:before="0" w:beforeLines="40" w:beforeAutospacing="0" w:after="0" w:afterAutospacing="0" w:line="240" w:lineRule="auto"/>
              <w:ind w:left="0" w:right="0" w:firstLine="0" w:firstLineChars="0"/>
              <w:jc w:val="center"/>
              <w:rPr>
                <w:rFonts w:eastAsiaTheme="majorEastAsia"/>
                <w:bCs/>
                <w:sz w:val="32"/>
                <w:szCs w:val="32"/>
              </w:rPr>
            </w:pPr>
            <w:r>
              <w:rPr>
                <w:rFonts w:eastAsiaTheme="majorEastAsia"/>
                <w:bCs/>
                <w:sz w:val="32"/>
                <w:szCs w:val="32"/>
              </w:rPr>
              <w:t>二〇</w:t>
            </w:r>
            <w:r>
              <w:rPr>
                <w:rFonts w:hint="eastAsia" w:eastAsiaTheme="majorEastAsia"/>
                <w:bCs/>
                <w:sz w:val="32"/>
                <w:szCs w:val="32"/>
              </w:rPr>
              <w:t>二一</w:t>
            </w:r>
            <w:r>
              <w:rPr>
                <w:rFonts w:eastAsiaTheme="majorEastAsia"/>
                <w:bCs/>
                <w:sz w:val="32"/>
                <w:szCs w:val="32"/>
              </w:rPr>
              <w:t>年</w:t>
            </w:r>
            <w:r>
              <w:rPr>
                <w:rFonts w:hint="eastAsia" w:eastAsiaTheme="majorEastAsia"/>
                <w:bCs/>
                <w:sz w:val="32"/>
                <w:szCs w:val="32"/>
                <w:lang w:val="en-US" w:eastAsia="zh-CN"/>
              </w:rPr>
              <w:t>五</w:t>
            </w:r>
            <w:bookmarkStart w:id="243" w:name="_GoBack"/>
            <w:bookmarkEnd w:id="243"/>
            <w:r>
              <w:rPr>
                <w:rFonts w:eastAsiaTheme="majorEastAsia"/>
                <w:bCs/>
                <w:sz w:val="32"/>
                <w:szCs w:val="32"/>
              </w:rPr>
              <w:t>月</w:t>
            </w:r>
          </w:p>
        </w:tc>
      </w:tr>
    </w:tbl>
    <w:p>
      <w:pPr>
        <w:spacing w:before="156"/>
        <w:ind w:firstLine="480"/>
      </w:pPr>
    </w:p>
    <w:p>
      <w:pPr>
        <w:widowControl w:val="0"/>
        <w:adjustRightInd/>
        <w:spacing w:beforeLines="40" w:line="240" w:lineRule="auto"/>
        <w:ind w:firstLine="0" w:firstLineChars="0"/>
        <w:jc w:val="left"/>
        <w:rPr>
          <w:rFonts w:eastAsiaTheme="majorEastAsia"/>
          <w:b/>
          <w:bCs/>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r>
        <w:rPr>
          <w:rFonts w:eastAsiaTheme="majorEastAsia"/>
          <w:b/>
          <w:bCs/>
          <w:sz w:val="44"/>
          <w:szCs w:val="44"/>
        </w:rPr>
        <w:drawing>
          <wp:anchor distT="0" distB="0" distL="114300" distR="114300" simplePos="0" relativeHeight="251679744" behindDoc="0" locked="0" layoutInCell="1" allowOverlap="1">
            <wp:simplePos x="0" y="0"/>
            <wp:positionH relativeFrom="column">
              <wp:posOffset>-410210</wp:posOffset>
            </wp:positionH>
            <wp:positionV relativeFrom="paragraph">
              <wp:posOffset>69215</wp:posOffset>
            </wp:positionV>
            <wp:extent cx="5931535" cy="4204970"/>
            <wp:effectExtent l="19050" t="0" r="0" b="0"/>
            <wp:wrapNone/>
            <wp:docPr id="3" name="图片 2" descr="C:\Users\ASUS\Desktop\浙江中水资质.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C:\Users\ASUS\Desktop\浙江中水资质.jpg"/>
                    <pic:cNvPicPr>
                      <a:picLocks noChangeAspect="1" noChangeArrowheads="1"/>
                    </pic:cNvPicPr>
                  </pic:nvPicPr>
                  <pic:blipFill>
                    <a:blip r:embed="rId35" cstate="print"/>
                    <a:srcRect/>
                    <a:stretch>
                      <a:fillRect/>
                    </a:stretch>
                  </pic:blipFill>
                  <pic:spPr>
                    <a:xfrm>
                      <a:off x="0" y="0"/>
                      <a:ext cx="5931477" cy="4204854"/>
                    </a:xfrm>
                    <a:prstGeom prst="rect">
                      <a:avLst/>
                    </a:prstGeom>
                    <a:noFill/>
                    <a:ln w="9525">
                      <a:noFill/>
                      <a:miter lim="800000"/>
                      <a:headEnd/>
                      <a:tailEnd/>
                    </a:ln>
                  </pic:spPr>
                </pic:pic>
              </a:graphicData>
            </a:graphic>
          </wp:anchor>
        </w:drawing>
      </w: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spacing w:before="156" w:line="240" w:lineRule="exact"/>
        <w:ind w:firstLine="0" w:firstLineChars="0"/>
        <w:jc w:val="center"/>
        <w:rPr>
          <w:b/>
          <w:sz w:val="52"/>
          <w:szCs w:val="36"/>
        </w:rPr>
      </w:pPr>
    </w:p>
    <w:p>
      <w:pPr>
        <w:spacing w:beforeLines="40" w:line="240" w:lineRule="auto"/>
        <w:ind w:firstLine="0" w:firstLineChars="0"/>
        <w:jc w:val="center"/>
        <w:rPr>
          <w:rFonts w:eastAsiaTheme="majorEastAsia"/>
          <w:b/>
          <w:bCs/>
          <w:sz w:val="32"/>
          <w:szCs w:val="32"/>
        </w:rPr>
      </w:pPr>
    </w:p>
    <w:p>
      <w:pPr>
        <w:spacing w:before="156"/>
        <w:ind w:firstLine="640"/>
        <w:rPr>
          <w:rFonts w:eastAsiaTheme="majorEastAsia"/>
          <w:sz w:val="32"/>
          <w:szCs w:val="32"/>
        </w:rPr>
      </w:pPr>
    </w:p>
    <w:p>
      <w:pPr>
        <w:spacing w:before="156"/>
        <w:ind w:firstLine="640"/>
        <w:rPr>
          <w:rFonts w:eastAsiaTheme="majorEastAsia"/>
          <w:sz w:val="32"/>
          <w:szCs w:val="32"/>
        </w:rPr>
      </w:pPr>
    </w:p>
    <w:p>
      <w:pPr>
        <w:spacing w:before="156"/>
        <w:ind w:firstLine="640"/>
        <w:rPr>
          <w:rFonts w:eastAsiaTheme="majorEastAsia"/>
          <w:sz w:val="32"/>
          <w:szCs w:val="32"/>
        </w:rPr>
      </w:pPr>
    </w:p>
    <w:p>
      <w:pPr>
        <w:spacing w:before="156"/>
        <w:ind w:firstLine="640"/>
        <w:rPr>
          <w:rFonts w:eastAsiaTheme="majorEastAsia"/>
          <w:sz w:val="32"/>
          <w:szCs w:val="32"/>
        </w:rPr>
      </w:pPr>
    </w:p>
    <w:p>
      <w:pPr>
        <w:spacing w:before="156"/>
        <w:ind w:firstLine="640"/>
        <w:rPr>
          <w:rFonts w:eastAsiaTheme="majorEastAsia"/>
          <w:sz w:val="32"/>
          <w:szCs w:val="32"/>
        </w:rPr>
      </w:pPr>
    </w:p>
    <w:p>
      <w:pPr>
        <w:spacing w:before="156"/>
        <w:ind w:firstLine="640"/>
        <w:rPr>
          <w:rFonts w:eastAsiaTheme="majorEastAsia"/>
          <w:sz w:val="32"/>
          <w:szCs w:val="32"/>
        </w:rPr>
      </w:pPr>
    </w:p>
    <w:p>
      <w:pPr>
        <w:spacing w:before="156"/>
        <w:ind w:firstLine="640"/>
        <w:rPr>
          <w:rFonts w:eastAsiaTheme="majorEastAsia"/>
          <w:sz w:val="32"/>
          <w:szCs w:val="32"/>
        </w:rPr>
      </w:pPr>
    </w:p>
    <w:p>
      <w:pPr>
        <w:spacing w:before="156"/>
        <w:ind w:firstLine="640"/>
        <w:rPr>
          <w:rFonts w:eastAsiaTheme="majorEastAsia"/>
          <w:sz w:val="32"/>
          <w:szCs w:val="32"/>
        </w:rPr>
      </w:pPr>
    </w:p>
    <w:p>
      <w:pPr>
        <w:spacing w:before="156"/>
        <w:ind w:firstLine="640"/>
        <w:rPr>
          <w:rFonts w:eastAsiaTheme="majorEastAsia"/>
          <w:sz w:val="32"/>
          <w:szCs w:val="32"/>
        </w:rPr>
      </w:pPr>
    </w:p>
    <w:p>
      <w:pPr>
        <w:spacing w:before="156"/>
        <w:ind w:firstLine="640"/>
        <w:rPr>
          <w:rFonts w:eastAsiaTheme="majorEastAsia"/>
          <w:sz w:val="32"/>
          <w:szCs w:val="32"/>
        </w:rPr>
      </w:pPr>
    </w:p>
    <w:p>
      <w:pPr>
        <w:spacing w:before="156"/>
        <w:ind w:firstLine="640"/>
        <w:rPr>
          <w:rFonts w:eastAsiaTheme="majorEastAsia"/>
          <w:sz w:val="32"/>
          <w:szCs w:val="32"/>
        </w:rPr>
      </w:pPr>
    </w:p>
    <w:p>
      <w:pPr>
        <w:spacing w:before="156"/>
        <w:ind w:firstLine="640"/>
        <w:rPr>
          <w:rFonts w:eastAsiaTheme="majorEastAsia"/>
          <w:sz w:val="32"/>
          <w:szCs w:val="32"/>
        </w:rPr>
      </w:pPr>
    </w:p>
    <w:p>
      <w:pPr>
        <w:spacing w:before="156"/>
        <w:ind w:firstLine="562"/>
        <w:rPr>
          <w:rFonts w:ascii="宋体" w:hAnsi="宋体" w:eastAsia="宋体"/>
          <w:sz w:val="28"/>
          <w:szCs w:val="28"/>
        </w:rPr>
      </w:pPr>
      <w:r>
        <w:rPr>
          <w:rFonts w:ascii="宋体" w:hAnsi="宋体" w:eastAsia="宋体"/>
          <w:b/>
          <w:bCs/>
          <w:sz w:val="28"/>
          <w:szCs w:val="28"/>
        </w:rPr>
        <w:t>项目联系人</w:t>
      </w:r>
      <w:r>
        <w:rPr>
          <w:rFonts w:hint="eastAsia" w:ascii="宋体" w:hAnsi="宋体" w:eastAsia="宋体"/>
          <w:sz w:val="28"/>
          <w:szCs w:val="28"/>
        </w:rPr>
        <w:t>：何 星 仪</w:t>
      </w:r>
    </w:p>
    <w:p>
      <w:pPr>
        <w:spacing w:before="156"/>
        <w:ind w:firstLine="562"/>
        <w:rPr>
          <w:rFonts w:ascii="宋体" w:hAnsi="宋体" w:eastAsia="宋体"/>
          <w:sz w:val="28"/>
          <w:szCs w:val="28"/>
        </w:rPr>
      </w:pPr>
      <w:r>
        <w:rPr>
          <w:rFonts w:hint="eastAsia" w:ascii="宋体" w:hAnsi="宋体" w:eastAsia="宋体"/>
          <w:b/>
          <w:bCs/>
          <w:sz w:val="28"/>
          <w:szCs w:val="28"/>
        </w:rPr>
        <w:t>联系电话</w:t>
      </w:r>
      <w:r>
        <w:rPr>
          <w:rFonts w:hint="eastAsia" w:ascii="宋体" w:hAnsi="宋体" w:eastAsia="宋体"/>
          <w:sz w:val="28"/>
          <w:szCs w:val="28"/>
        </w:rPr>
        <w:t>：</w:t>
      </w:r>
      <w:r>
        <w:rPr>
          <w:rFonts w:ascii="宋体" w:hAnsi="宋体" w:eastAsia="宋体"/>
          <w:sz w:val="28"/>
          <w:szCs w:val="28"/>
        </w:rPr>
        <w:t>15281032582</w:t>
      </w:r>
    </w:p>
    <w:p>
      <w:pPr>
        <w:spacing w:before="156"/>
        <w:ind w:firstLine="562"/>
        <w:rPr>
          <w:rFonts w:ascii="宋体" w:hAnsi="宋体" w:eastAsia="宋体"/>
          <w:sz w:val="28"/>
          <w:szCs w:val="28"/>
        </w:rPr>
      </w:pPr>
      <w:r>
        <w:rPr>
          <w:rFonts w:hint="eastAsia" w:ascii="宋体" w:hAnsi="宋体" w:eastAsia="宋体"/>
          <w:b/>
          <w:bCs/>
          <w:sz w:val="28"/>
          <w:szCs w:val="28"/>
        </w:rPr>
        <w:t>邮箱</w:t>
      </w:r>
      <w:r>
        <w:rPr>
          <w:rFonts w:hint="eastAsia" w:ascii="宋体" w:hAnsi="宋体" w:eastAsia="宋体"/>
          <w:sz w:val="28"/>
          <w:szCs w:val="28"/>
        </w:rPr>
        <w:t>：</w:t>
      </w:r>
      <w:r>
        <w:rPr>
          <w:rFonts w:ascii="宋体" w:hAnsi="宋体" w:eastAsia="宋体"/>
          <w:sz w:val="28"/>
          <w:szCs w:val="28"/>
        </w:rPr>
        <w:t>1498714637@qq.com</w:t>
      </w:r>
    </w:p>
    <w:p>
      <w:pPr>
        <w:spacing w:before="156"/>
        <w:ind w:firstLine="640"/>
        <w:rPr>
          <w:rFonts w:eastAsiaTheme="majorEastAsia"/>
          <w:sz w:val="32"/>
          <w:szCs w:val="32"/>
        </w:rPr>
      </w:pPr>
    </w:p>
    <w:p>
      <w:pPr>
        <w:spacing w:beforeLines="40" w:line="240" w:lineRule="auto"/>
        <w:ind w:firstLine="0" w:firstLineChars="0"/>
        <w:jc w:val="center"/>
        <w:rPr>
          <w:rFonts w:eastAsiaTheme="majorEastAsia"/>
          <w:b/>
          <w:bCs/>
          <w:sz w:val="32"/>
          <w:szCs w:val="32"/>
        </w:rPr>
        <w:sectPr>
          <w:headerReference r:id="rId11" w:type="first"/>
          <w:footerReference r:id="rId14" w:type="first"/>
          <w:headerReference r:id="rId9" w:type="default"/>
          <w:footerReference r:id="rId12" w:type="default"/>
          <w:headerReference r:id="rId10" w:type="even"/>
          <w:footerReference r:id="rId13" w:type="even"/>
          <w:pgSz w:w="11906" w:h="16838"/>
          <w:pgMar w:top="1440" w:right="1800" w:bottom="1440" w:left="1800" w:header="851" w:footer="992" w:gutter="0"/>
          <w:cols w:space="425" w:num="1"/>
          <w:docGrid w:type="lines" w:linePitch="312" w:charSpace="0"/>
        </w:sectPr>
      </w:pPr>
    </w:p>
    <w:p>
      <w:pPr>
        <w:adjustRightInd/>
        <w:snapToGrid/>
        <w:spacing w:beforeLines="0" w:line="240" w:lineRule="auto"/>
        <w:ind w:firstLine="0" w:firstLineChars="0"/>
        <w:jc w:val="center"/>
        <w:rPr>
          <w:b/>
          <w:iCs/>
          <w:sz w:val="32"/>
          <w:szCs w:val="28"/>
        </w:rPr>
      </w:pPr>
      <w:r>
        <w:rPr>
          <w:rFonts w:hint="eastAsia"/>
          <w:b/>
          <w:iCs/>
          <w:sz w:val="32"/>
          <w:szCs w:val="28"/>
          <w:lang w:eastAsia="zh-CN"/>
        </w:rPr>
        <w:t>甘孜雅江柯拉35千伏输变电工程</w:t>
      </w:r>
      <w:r>
        <w:rPr>
          <w:b/>
          <w:iCs/>
          <w:sz w:val="32"/>
          <w:szCs w:val="28"/>
        </w:rPr>
        <w:t>水土保持设施验收报告</w:t>
      </w:r>
    </w:p>
    <w:p>
      <w:pPr>
        <w:adjustRightInd/>
        <w:snapToGrid/>
        <w:spacing w:beforeLines="0" w:line="240" w:lineRule="auto"/>
        <w:ind w:firstLine="0" w:firstLineChars="0"/>
        <w:jc w:val="center"/>
        <w:rPr>
          <w:b/>
          <w:iCs/>
          <w:sz w:val="32"/>
          <w:szCs w:val="28"/>
        </w:rPr>
      </w:pPr>
      <w:r>
        <w:rPr>
          <w:b/>
          <w:iCs/>
          <w:sz w:val="32"/>
          <w:szCs w:val="28"/>
        </w:rPr>
        <w:t>责任页</w:t>
      </w:r>
    </w:p>
    <w:p>
      <w:pPr>
        <w:widowControl w:val="0"/>
        <w:spacing w:beforeLines="0" w:line="500" w:lineRule="atLeast"/>
        <w:ind w:firstLine="0" w:firstLineChars="0"/>
        <w:jc w:val="center"/>
        <w:rPr>
          <w:sz w:val="32"/>
          <w:szCs w:val="32"/>
        </w:rPr>
      </w:pPr>
      <w:r>
        <w:rPr>
          <w:sz w:val="32"/>
          <w:szCs w:val="32"/>
        </w:rPr>
        <w:t>（</w:t>
      </w:r>
      <w:r>
        <w:rPr>
          <w:b/>
          <w:bCs/>
          <w:sz w:val="32"/>
          <w:szCs w:val="32"/>
        </w:rPr>
        <w:t>浙江中水工程技术有限公司</w:t>
      </w:r>
      <w:r>
        <w:rPr>
          <w:sz w:val="32"/>
          <w:szCs w:val="32"/>
        </w:rPr>
        <w:t>）</w:t>
      </w:r>
    </w:p>
    <w:p>
      <w:pPr>
        <w:widowControl w:val="0"/>
        <w:adjustRightInd/>
        <w:snapToGrid/>
        <w:spacing w:beforeLines="0" w:line="600" w:lineRule="auto"/>
        <w:ind w:firstLine="0" w:firstLineChars="0"/>
        <w:rPr>
          <w:rFonts w:eastAsia="宋体"/>
          <w:sz w:val="32"/>
          <w:szCs w:val="32"/>
        </w:rPr>
      </w:pPr>
    </w:p>
    <w:p>
      <w:pPr>
        <w:widowControl w:val="0"/>
        <w:adjustRightInd/>
        <w:snapToGrid/>
        <w:spacing w:beforeLines="0" w:line="600" w:lineRule="auto"/>
        <w:ind w:firstLine="0" w:firstLineChars="0"/>
        <w:rPr>
          <w:rFonts w:ascii="仿宋_GB2312" w:hAnsi="仿宋_GB2312" w:cs="仿宋_GB2312"/>
          <w:sz w:val="32"/>
          <w:szCs w:val="32"/>
        </w:rPr>
      </w:pPr>
      <w:r>
        <w:rPr>
          <w:rFonts w:hint="eastAsia" w:ascii="仿宋_GB2312" w:hAnsi="仿宋_GB2312" w:cs="仿宋_GB2312"/>
          <w:sz w:val="28"/>
          <w:szCs w:val="36"/>
        </w:rPr>
        <w:drawing>
          <wp:anchor distT="0" distB="0" distL="114300" distR="114300" simplePos="0" relativeHeight="251653120" behindDoc="0" locked="0" layoutInCell="1" allowOverlap="1">
            <wp:simplePos x="0" y="0"/>
            <wp:positionH relativeFrom="column">
              <wp:posOffset>1419860</wp:posOffset>
            </wp:positionH>
            <wp:positionV relativeFrom="paragraph">
              <wp:posOffset>13335</wp:posOffset>
            </wp:positionV>
            <wp:extent cx="699770" cy="405765"/>
            <wp:effectExtent l="0" t="0" r="5080" b="13335"/>
            <wp:wrapNone/>
            <wp:docPr id="1" name="图片 5" descr="103794407816217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103794407816217428"/>
                    <pic:cNvPicPr>
                      <a:picLocks noChangeAspect="1"/>
                    </pic:cNvPicPr>
                  </pic:nvPicPr>
                  <pic:blipFill>
                    <a:blip r:embed="rId36" cstate="print"/>
                    <a:stretch>
                      <a:fillRect/>
                    </a:stretch>
                  </pic:blipFill>
                  <pic:spPr>
                    <a:xfrm>
                      <a:off x="0" y="0"/>
                      <a:ext cx="699770" cy="405765"/>
                    </a:xfrm>
                    <a:prstGeom prst="rect">
                      <a:avLst/>
                    </a:prstGeom>
                    <a:noFill/>
                    <a:ln>
                      <a:noFill/>
                    </a:ln>
                  </pic:spPr>
                </pic:pic>
              </a:graphicData>
            </a:graphic>
          </wp:anchor>
        </w:drawing>
      </w:r>
      <w:r>
        <w:rPr>
          <w:rFonts w:hint="eastAsia" w:ascii="仿宋_GB2312" w:hAnsi="仿宋_GB2312" w:cs="仿宋_GB2312"/>
          <w:sz w:val="21"/>
        </w:rPr>
        <w:drawing>
          <wp:anchor distT="0" distB="0" distL="114300" distR="114300" simplePos="0" relativeHeight="251655168" behindDoc="0" locked="0" layoutInCell="1" allowOverlap="1">
            <wp:simplePos x="0" y="0"/>
            <wp:positionH relativeFrom="column">
              <wp:posOffset>1304925</wp:posOffset>
            </wp:positionH>
            <wp:positionV relativeFrom="paragraph">
              <wp:posOffset>436880</wp:posOffset>
            </wp:positionV>
            <wp:extent cx="902335" cy="504825"/>
            <wp:effectExtent l="0" t="0" r="12065" b="9525"/>
            <wp:wrapNone/>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37" cstate="print"/>
                    <a:stretch>
                      <a:fillRect/>
                    </a:stretch>
                  </pic:blipFill>
                  <pic:spPr>
                    <a:xfrm>
                      <a:off x="0" y="0"/>
                      <a:ext cx="902335" cy="504825"/>
                    </a:xfrm>
                    <a:prstGeom prst="rect">
                      <a:avLst/>
                    </a:prstGeom>
                    <a:noFill/>
                    <a:ln>
                      <a:noFill/>
                    </a:ln>
                  </pic:spPr>
                </pic:pic>
              </a:graphicData>
            </a:graphic>
          </wp:anchor>
        </w:drawing>
      </w:r>
      <w:r>
        <w:rPr>
          <w:rFonts w:hint="eastAsia" w:ascii="仿宋_GB2312" w:hAnsi="仿宋_GB2312" w:cs="仿宋_GB2312"/>
          <w:sz w:val="32"/>
          <w:szCs w:val="32"/>
        </w:rPr>
        <w:t>批</w:t>
      </w:r>
      <w:r>
        <w:rPr>
          <w:rFonts w:hint="eastAsia" w:ascii="仿宋_GB2312" w:hAnsi="仿宋_GB2312" w:cs="仿宋_GB2312"/>
          <w:sz w:val="32"/>
          <w:szCs w:val="32"/>
          <w:vertAlign w:val="superscript"/>
        </w:rPr>
        <w:t xml:space="preserve">  </w:t>
      </w:r>
      <w:r>
        <w:rPr>
          <w:rFonts w:hint="eastAsia" w:ascii="仿宋_GB2312" w:hAnsi="仿宋_GB2312" w:cs="仿宋_GB2312"/>
          <w:sz w:val="32"/>
          <w:szCs w:val="32"/>
        </w:rPr>
        <w:t>准：</w:t>
      </w:r>
      <w:r>
        <w:rPr>
          <w:rFonts w:hint="eastAsia" w:ascii="仿宋_GB2312" w:hAnsi="仿宋_GB2312" w:cs="仿宋_GB2312"/>
          <w:sz w:val="32"/>
          <w:szCs w:val="32"/>
          <w:vertAlign w:val="superscript"/>
        </w:rPr>
        <w:t xml:space="preserve">                                                  </w:t>
      </w:r>
      <w:r>
        <w:rPr>
          <w:rFonts w:hint="eastAsia" w:ascii="仿宋_GB2312" w:hAnsi="仿宋_GB2312" w:cs="仿宋_GB2312"/>
          <w:sz w:val="32"/>
          <w:szCs w:val="32"/>
        </w:rPr>
        <w:t>高级工程师</w:t>
      </w:r>
    </w:p>
    <w:p>
      <w:pPr>
        <w:widowControl w:val="0"/>
        <w:adjustRightInd/>
        <w:snapToGrid/>
        <w:spacing w:beforeLines="0" w:line="600" w:lineRule="auto"/>
        <w:ind w:firstLine="0" w:firstLineChars="0"/>
        <w:rPr>
          <w:rFonts w:ascii="仿宋_GB2312" w:hAnsi="仿宋_GB2312" w:cs="仿宋_GB2312"/>
          <w:sz w:val="32"/>
          <w:szCs w:val="32"/>
        </w:rPr>
      </w:pPr>
      <w:r>
        <w:rPr>
          <w:rFonts w:hint="eastAsia" w:ascii="仿宋_GB2312" w:hAnsi="仿宋_GB2312" w:cs="仿宋_GB2312"/>
          <w:sz w:val="21"/>
        </w:rPr>
        <w:drawing>
          <wp:anchor distT="0" distB="0" distL="114300" distR="114300" simplePos="0" relativeHeight="251659264" behindDoc="0" locked="0" layoutInCell="1" allowOverlap="1">
            <wp:simplePos x="0" y="0"/>
            <wp:positionH relativeFrom="column">
              <wp:posOffset>1462405</wp:posOffset>
            </wp:positionH>
            <wp:positionV relativeFrom="paragraph">
              <wp:posOffset>429260</wp:posOffset>
            </wp:positionV>
            <wp:extent cx="661670" cy="478155"/>
            <wp:effectExtent l="0" t="0" r="5080" b="17145"/>
            <wp:wrapNone/>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38" cstate="print"/>
                    <a:stretch>
                      <a:fillRect/>
                    </a:stretch>
                  </pic:blipFill>
                  <pic:spPr>
                    <a:xfrm>
                      <a:off x="0" y="0"/>
                      <a:ext cx="661670" cy="478155"/>
                    </a:xfrm>
                    <a:prstGeom prst="rect">
                      <a:avLst/>
                    </a:prstGeom>
                    <a:noFill/>
                    <a:ln>
                      <a:noFill/>
                    </a:ln>
                  </pic:spPr>
                </pic:pic>
              </a:graphicData>
            </a:graphic>
          </wp:anchor>
        </w:drawing>
      </w:r>
      <w:r>
        <w:rPr>
          <w:rFonts w:hint="eastAsia" w:ascii="仿宋_GB2312" w:hAnsi="仿宋_GB2312" w:cs="仿宋_GB2312"/>
          <w:sz w:val="32"/>
          <w:szCs w:val="32"/>
        </w:rPr>
        <w:t>核</w:t>
      </w:r>
      <w:r>
        <w:rPr>
          <w:rFonts w:hint="eastAsia" w:ascii="仿宋_GB2312" w:hAnsi="仿宋_GB2312" w:cs="仿宋_GB2312"/>
          <w:sz w:val="32"/>
          <w:szCs w:val="32"/>
          <w:vertAlign w:val="superscript"/>
        </w:rPr>
        <w:t xml:space="preserve">  </w:t>
      </w:r>
      <w:r>
        <w:rPr>
          <w:rFonts w:hint="eastAsia" w:ascii="仿宋_GB2312" w:hAnsi="仿宋_GB2312" w:cs="仿宋_GB2312"/>
          <w:sz w:val="32"/>
          <w:szCs w:val="32"/>
        </w:rPr>
        <w:t>定：</w:t>
      </w:r>
      <w:r>
        <w:rPr>
          <w:rFonts w:hint="eastAsia" w:ascii="仿宋_GB2312" w:hAnsi="仿宋_GB2312" w:cs="仿宋_GB2312"/>
          <w:sz w:val="32"/>
          <w:szCs w:val="32"/>
          <w:vertAlign w:val="superscript"/>
        </w:rPr>
        <w:t xml:space="preserve">                                                  </w:t>
      </w:r>
      <w:r>
        <w:rPr>
          <w:rFonts w:hint="eastAsia" w:ascii="仿宋_GB2312" w:hAnsi="仿宋_GB2312" w:cs="仿宋_GB2312"/>
          <w:sz w:val="32"/>
          <w:szCs w:val="32"/>
        </w:rPr>
        <w:t>高级工程师</w:t>
      </w:r>
    </w:p>
    <w:p>
      <w:pPr>
        <w:widowControl w:val="0"/>
        <w:adjustRightInd/>
        <w:snapToGrid/>
        <w:spacing w:beforeLines="0" w:line="600" w:lineRule="auto"/>
        <w:ind w:firstLine="0" w:firstLineChars="0"/>
        <w:rPr>
          <w:rFonts w:ascii="仿宋_GB2312" w:hAnsi="仿宋_GB2312" w:cs="仿宋_GB2312"/>
          <w:sz w:val="32"/>
          <w:szCs w:val="32"/>
        </w:rPr>
      </w:pPr>
      <w:r>
        <w:rPr>
          <w:rFonts w:hint="eastAsia" w:ascii="仿宋_GB2312" w:hAnsi="仿宋_GB2312" w:cs="仿宋_GB2312"/>
          <w:sz w:val="32"/>
          <w:szCs w:val="32"/>
        </w:rPr>
        <w:t>审</w:t>
      </w:r>
      <w:r>
        <w:rPr>
          <w:rFonts w:hint="eastAsia" w:ascii="仿宋_GB2312" w:hAnsi="仿宋_GB2312" w:cs="仿宋_GB2312"/>
          <w:sz w:val="32"/>
          <w:szCs w:val="32"/>
          <w:vertAlign w:val="superscript"/>
        </w:rPr>
        <w:t xml:space="preserve">  </w:t>
      </w:r>
      <w:r>
        <w:rPr>
          <w:rFonts w:hint="eastAsia" w:ascii="仿宋_GB2312" w:hAnsi="仿宋_GB2312" w:cs="仿宋_GB2312"/>
          <w:sz w:val="32"/>
          <w:szCs w:val="32"/>
        </w:rPr>
        <w:t>查：</w:t>
      </w:r>
      <w:r>
        <w:rPr>
          <w:rFonts w:hint="eastAsia" w:ascii="仿宋_GB2312" w:hAnsi="仿宋_GB2312" w:cs="仿宋_GB2312"/>
          <w:sz w:val="32"/>
          <w:szCs w:val="32"/>
          <w:vertAlign w:val="superscript"/>
        </w:rPr>
        <w:t xml:space="preserve">                                                  </w:t>
      </w:r>
      <w:r>
        <w:rPr>
          <w:rFonts w:hint="eastAsia" w:ascii="仿宋_GB2312" w:hAnsi="仿宋_GB2312" w:cs="仿宋_GB2312"/>
          <w:sz w:val="32"/>
          <w:szCs w:val="32"/>
        </w:rPr>
        <w:t>工程师</w:t>
      </w:r>
    </w:p>
    <w:p>
      <w:pPr>
        <w:widowControl w:val="0"/>
        <w:adjustRightInd/>
        <w:snapToGrid/>
        <w:spacing w:beforeLines="0" w:line="600" w:lineRule="auto"/>
        <w:ind w:firstLine="0" w:firstLineChars="0"/>
        <w:rPr>
          <w:rFonts w:ascii="仿宋_GB2312" w:hAnsi="仿宋_GB2312" w:cs="仿宋_GB2312"/>
          <w:sz w:val="32"/>
          <w:szCs w:val="32"/>
        </w:rPr>
      </w:pPr>
      <w:r>
        <w:rPr>
          <w:rFonts w:hint="eastAsia" w:ascii="仿宋_GB2312" w:hAnsi="仿宋_GB2312" w:cs="仿宋_GB2312"/>
          <w:sz w:val="21"/>
        </w:rPr>
        <w:drawing>
          <wp:anchor distT="0" distB="0" distL="114300" distR="114300" simplePos="0" relativeHeight="251651072" behindDoc="0" locked="0" layoutInCell="1" allowOverlap="1">
            <wp:simplePos x="0" y="0"/>
            <wp:positionH relativeFrom="column">
              <wp:posOffset>1353820</wp:posOffset>
            </wp:positionH>
            <wp:positionV relativeFrom="paragraph">
              <wp:posOffset>488315</wp:posOffset>
            </wp:positionV>
            <wp:extent cx="966470" cy="483235"/>
            <wp:effectExtent l="0" t="0" r="5080" b="12065"/>
            <wp:wrapNone/>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39" cstate="print"/>
                    <a:stretch>
                      <a:fillRect/>
                    </a:stretch>
                  </pic:blipFill>
                  <pic:spPr>
                    <a:xfrm>
                      <a:off x="0" y="0"/>
                      <a:ext cx="966470" cy="483235"/>
                    </a:xfrm>
                    <a:prstGeom prst="rect">
                      <a:avLst/>
                    </a:prstGeom>
                    <a:noFill/>
                    <a:ln>
                      <a:noFill/>
                    </a:ln>
                  </pic:spPr>
                </pic:pic>
              </a:graphicData>
            </a:graphic>
          </wp:anchor>
        </w:drawing>
      </w:r>
      <w:r>
        <w:rPr>
          <w:rFonts w:hint="eastAsia" w:ascii="仿宋_GB2312" w:hAnsi="仿宋_GB2312" w:cs="仿宋_GB2312"/>
          <w:sz w:val="21"/>
        </w:rPr>
        <w:drawing>
          <wp:anchor distT="0" distB="0" distL="114300" distR="114300" simplePos="0" relativeHeight="251657216" behindDoc="0" locked="0" layoutInCell="1" allowOverlap="1">
            <wp:simplePos x="0" y="0"/>
            <wp:positionH relativeFrom="column">
              <wp:posOffset>1455420</wp:posOffset>
            </wp:positionH>
            <wp:positionV relativeFrom="paragraph">
              <wp:posOffset>73660</wp:posOffset>
            </wp:positionV>
            <wp:extent cx="723265" cy="485140"/>
            <wp:effectExtent l="0" t="0" r="635" b="10160"/>
            <wp:wrapNone/>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40" cstate="print"/>
                    <a:stretch>
                      <a:fillRect/>
                    </a:stretch>
                  </pic:blipFill>
                  <pic:spPr>
                    <a:xfrm>
                      <a:off x="0" y="0"/>
                      <a:ext cx="723265" cy="485140"/>
                    </a:xfrm>
                    <a:prstGeom prst="rect">
                      <a:avLst/>
                    </a:prstGeom>
                    <a:noFill/>
                    <a:ln>
                      <a:noFill/>
                    </a:ln>
                  </pic:spPr>
                </pic:pic>
              </a:graphicData>
            </a:graphic>
          </wp:anchor>
        </w:drawing>
      </w:r>
      <w:r>
        <w:rPr>
          <w:rFonts w:hint="eastAsia" w:ascii="仿宋_GB2312" w:hAnsi="仿宋_GB2312" w:cs="仿宋_GB2312"/>
          <w:sz w:val="32"/>
          <w:szCs w:val="32"/>
        </w:rPr>
        <w:t>校</w:t>
      </w:r>
      <w:r>
        <w:rPr>
          <w:rFonts w:hint="eastAsia" w:ascii="仿宋_GB2312" w:hAnsi="仿宋_GB2312" w:cs="仿宋_GB2312"/>
          <w:sz w:val="32"/>
          <w:szCs w:val="32"/>
          <w:vertAlign w:val="superscript"/>
        </w:rPr>
        <w:t xml:space="preserve">  </w:t>
      </w:r>
      <w:r>
        <w:rPr>
          <w:rFonts w:hint="eastAsia" w:ascii="仿宋_GB2312" w:hAnsi="仿宋_GB2312" w:cs="仿宋_GB2312"/>
          <w:sz w:val="32"/>
          <w:szCs w:val="32"/>
        </w:rPr>
        <w:t>核：</w:t>
      </w:r>
      <w:r>
        <w:rPr>
          <w:rFonts w:hint="eastAsia" w:ascii="仿宋_GB2312" w:hAnsi="仿宋_GB2312" w:cs="仿宋_GB2312"/>
          <w:sz w:val="32"/>
          <w:szCs w:val="32"/>
          <w:vertAlign w:val="superscript"/>
        </w:rPr>
        <w:t xml:space="preserve">                                                  </w:t>
      </w:r>
      <w:r>
        <w:rPr>
          <w:rFonts w:hint="eastAsia" w:ascii="仿宋_GB2312" w:hAnsi="仿宋_GB2312" w:cs="仿宋_GB2312"/>
          <w:sz w:val="32"/>
          <w:szCs w:val="32"/>
        </w:rPr>
        <w:t>工程师</w:t>
      </w:r>
    </w:p>
    <w:p>
      <w:pPr>
        <w:widowControl w:val="0"/>
        <w:adjustRightInd/>
        <w:snapToGrid/>
        <w:spacing w:beforeLines="0" w:line="600" w:lineRule="auto"/>
        <w:ind w:firstLine="0" w:firstLineChars="0"/>
        <w:rPr>
          <w:rFonts w:ascii="仿宋_GB2312" w:hAnsi="仿宋_GB2312" w:cs="仿宋_GB2312"/>
          <w:sz w:val="32"/>
          <w:szCs w:val="32"/>
        </w:rPr>
      </w:pPr>
      <w:r>
        <w:rPr>
          <w:rFonts w:hint="eastAsia" w:ascii="仿宋_GB2312" w:hAnsi="仿宋_GB2312" w:cs="仿宋_GB2312"/>
          <w:sz w:val="32"/>
          <w:szCs w:val="32"/>
        </w:rPr>
        <w:t>项目负责人：</w:t>
      </w:r>
      <w:r>
        <w:rPr>
          <w:rFonts w:hint="eastAsia" w:ascii="仿宋_GB2312" w:hAnsi="仿宋_GB2312" w:cs="仿宋_GB2312"/>
          <w:sz w:val="32"/>
          <w:szCs w:val="32"/>
          <w:vertAlign w:val="superscript"/>
        </w:rPr>
        <w:t xml:space="preserve">                                        </w:t>
      </w:r>
      <w:r>
        <w:rPr>
          <w:rFonts w:hint="eastAsia" w:ascii="仿宋_GB2312" w:hAnsi="仿宋_GB2312" w:cs="仿宋_GB2312"/>
          <w:sz w:val="32"/>
          <w:szCs w:val="32"/>
        </w:rPr>
        <w:t>高级工程师</w:t>
      </w:r>
    </w:p>
    <w:p>
      <w:pPr>
        <w:widowControl w:val="0"/>
        <w:adjustRightInd/>
        <w:snapToGrid/>
        <w:spacing w:beforeLines="0" w:line="480" w:lineRule="exact"/>
        <w:ind w:firstLine="0" w:firstLineChars="0"/>
        <w:rPr>
          <w:rFonts w:eastAsia="方正北魏楷书简体"/>
          <w:sz w:val="30"/>
          <w:szCs w:val="30"/>
        </w:rPr>
      </w:pPr>
    </w:p>
    <w:p>
      <w:pPr>
        <w:widowControl w:val="0"/>
        <w:adjustRightInd/>
        <w:snapToGrid/>
        <w:spacing w:beforeLines="0" w:line="480" w:lineRule="exact"/>
        <w:ind w:firstLine="0" w:firstLineChars="0"/>
        <w:rPr>
          <w:rFonts w:ascii="仿宋_GB2312" w:hAnsi="仿宋_GB2312" w:cs="仿宋_GB2312"/>
          <w:sz w:val="30"/>
          <w:szCs w:val="30"/>
        </w:rPr>
      </w:pPr>
      <w:r>
        <w:rPr>
          <w:rFonts w:hint="eastAsia" w:ascii="仿宋_GB2312" w:hAnsi="仿宋_GB2312" w:cs="仿宋_GB2312"/>
          <w:sz w:val="30"/>
          <w:szCs w:val="30"/>
        </w:rPr>
        <w:t>参加工作人员：</w:t>
      </w:r>
    </w:p>
    <w:p>
      <w:pPr>
        <w:widowControl w:val="0"/>
        <w:adjustRightInd/>
        <w:snapToGrid/>
        <w:spacing w:beforeLines="0" w:line="480" w:lineRule="exact"/>
        <w:ind w:firstLine="0" w:firstLineChars="0"/>
        <w:rPr>
          <w:rFonts w:ascii="仿宋_GB2312" w:hAnsi="仿宋_GB2312" w:cs="仿宋_GB2312"/>
          <w:sz w:val="30"/>
          <w:szCs w:val="30"/>
        </w:rPr>
      </w:pPr>
    </w:p>
    <w:tbl>
      <w:tblPr>
        <w:tblStyle w:val="32"/>
        <w:tblW w:w="852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3764"/>
        <w:gridCol w:w="1370"/>
        <w:gridCol w:w="1694"/>
        <w:gridCol w:w="169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0" w:hRule="atLeast"/>
          <w:jc w:val="center"/>
        </w:trPr>
        <w:tc>
          <w:tcPr>
            <w:tcW w:w="3764"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专题名称</w:t>
            </w:r>
          </w:p>
        </w:tc>
        <w:tc>
          <w:tcPr>
            <w:tcW w:w="1370"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职</w:t>
            </w:r>
            <w:r>
              <w:rPr>
                <w:rFonts w:hint="eastAsia" w:ascii="仿宋_GB2312" w:hAnsi="仿宋_GB2312" w:cs="仿宋_GB2312"/>
                <w:sz w:val="26"/>
                <w:szCs w:val="26"/>
                <w:vertAlign w:val="superscript"/>
              </w:rPr>
              <w:t xml:space="preserve">  </w:t>
            </w:r>
            <w:r>
              <w:rPr>
                <w:rFonts w:hint="eastAsia" w:ascii="仿宋_GB2312" w:hAnsi="仿宋_GB2312" w:cs="仿宋_GB2312"/>
                <w:sz w:val="26"/>
                <w:szCs w:val="26"/>
              </w:rPr>
              <w:t>称</w:t>
            </w:r>
          </w:p>
        </w:tc>
        <w:tc>
          <w:tcPr>
            <w:tcW w:w="1694"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专业</w:t>
            </w:r>
          </w:p>
        </w:tc>
        <w:tc>
          <w:tcPr>
            <w:tcW w:w="1694"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签</w:t>
            </w:r>
            <w:r>
              <w:rPr>
                <w:rFonts w:hint="eastAsia" w:ascii="仿宋_GB2312" w:hAnsi="仿宋_GB2312" w:cs="仿宋_GB2312"/>
                <w:sz w:val="26"/>
                <w:szCs w:val="26"/>
                <w:vertAlign w:val="superscript"/>
              </w:rPr>
              <w:t xml:space="preserve">  </w:t>
            </w:r>
            <w:r>
              <w:rPr>
                <w:rFonts w:hint="eastAsia" w:ascii="仿宋_GB2312" w:hAnsi="仿宋_GB2312" w:cs="仿宋_GB2312"/>
                <w:sz w:val="26"/>
                <w:szCs w:val="26"/>
              </w:rPr>
              <w:t>名</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134" w:hRule="atLeast"/>
          <w:jc w:val="center"/>
        </w:trPr>
        <w:tc>
          <w:tcPr>
            <w:tcW w:w="3764"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项目及项目区概况、水土保持方案和设计情况</w:t>
            </w:r>
          </w:p>
        </w:tc>
        <w:tc>
          <w:tcPr>
            <w:tcW w:w="1370"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工程师</w:t>
            </w:r>
          </w:p>
        </w:tc>
        <w:tc>
          <w:tcPr>
            <w:tcW w:w="1694"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水土保持</w:t>
            </w:r>
          </w:p>
        </w:tc>
        <w:tc>
          <w:tcPr>
            <w:tcW w:w="1694"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drawing>
                <wp:anchor distT="0" distB="0" distL="114300" distR="114300" simplePos="0" relativeHeight="251672576" behindDoc="0" locked="0" layoutInCell="1" allowOverlap="1">
                  <wp:simplePos x="0" y="0"/>
                  <wp:positionH relativeFrom="column">
                    <wp:posOffset>343535</wp:posOffset>
                  </wp:positionH>
                  <wp:positionV relativeFrom="paragraph">
                    <wp:posOffset>-60325</wp:posOffset>
                  </wp:positionV>
                  <wp:extent cx="393065" cy="873760"/>
                  <wp:effectExtent l="266700" t="0" r="241300" b="0"/>
                  <wp:wrapNone/>
                  <wp:docPr id="5" name="图片 11" descr="1f7686be4bf48058ffd4729416e7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descr="1f7686be4bf48058ffd4729416e7030"/>
                          <pic:cNvPicPr>
                            <a:picLocks noChangeAspect="1"/>
                          </pic:cNvPicPr>
                        </pic:nvPicPr>
                        <pic:blipFill>
                          <a:blip r:embed="rId41" cstate="print"/>
                          <a:stretch>
                            <a:fillRect/>
                          </a:stretch>
                        </pic:blipFill>
                        <pic:spPr>
                          <a:xfrm rot="-5400000">
                            <a:off x="0" y="0"/>
                            <a:ext cx="387350" cy="873125"/>
                          </a:xfrm>
                          <a:prstGeom prst="rect">
                            <a:avLst/>
                          </a:prstGeom>
                          <a:noFill/>
                          <a:ln>
                            <a:noFill/>
                          </a:ln>
                        </pic:spPr>
                      </pic:pic>
                    </a:graphicData>
                  </a:graphic>
                </wp:anchor>
              </w:drawing>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134" w:hRule="atLeast"/>
          <w:jc w:val="center"/>
        </w:trPr>
        <w:tc>
          <w:tcPr>
            <w:tcW w:w="3764"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水土保持实施情况、水土保持工程质量、项目初期运行及水土保持效果</w:t>
            </w:r>
          </w:p>
        </w:tc>
        <w:tc>
          <w:tcPr>
            <w:tcW w:w="1370"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工程师</w:t>
            </w:r>
          </w:p>
        </w:tc>
        <w:tc>
          <w:tcPr>
            <w:tcW w:w="1694"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水土保持</w:t>
            </w:r>
          </w:p>
        </w:tc>
        <w:tc>
          <w:tcPr>
            <w:tcW w:w="1694"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drawing>
                <wp:anchor distT="0" distB="0" distL="114300" distR="114300" simplePos="0" relativeHeight="251676672" behindDoc="0" locked="0" layoutInCell="1" allowOverlap="1">
                  <wp:simplePos x="0" y="0"/>
                  <wp:positionH relativeFrom="column">
                    <wp:posOffset>118745</wp:posOffset>
                  </wp:positionH>
                  <wp:positionV relativeFrom="paragraph">
                    <wp:posOffset>150495</wp:posOffset>
                  </wp:positionV>
                  <wp:extent cx="807720" cy="477520"/>
                  <wp:effectExtent l="19050" t="0" r="0" b="0"/>
                  <wp:wrapNone/>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42" cstate="print"/>
                          <a:stretch>
                            <a:fillRect/>
                          </a:stretch>
                        </pic:blipFill>
                        <pic:spPr>
                          <a:xfrm>
                            <a:off x="0" y="0"/>
                            <a:ext cx="807720" cy="477520"/>
                          </a:xfrm>
                          <a:prstGeom prst="rect">
                            <a:avLst/>
                          </a:prstGeom>
                          <a:noFill/>
                          <a:ln>
                            <a:noFill/>
                          </a:ln>
                        </pic:spPr>
                      </pic:pic>
                    </a:graphicData>
                  </a:graphic>
                </wp:anchor>
              </w:drawing>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134" w:hRule="atLeast"/>
          <w:jc w:val="center"/>
        </w:trPr>
        <w:tc>
          <w:tcPr>
            <w:tcW w:w="3764"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水土保持管理、结论、附件及附图</w:t>
            </w:r>
          </w:p>
        </w:tc>
        <w:tc>
          <w:tcPr>
            <w:tcW w:w="1370"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工程师</w:t>
            </w:r>
          </w:p>
        </w:tc>
        <w:tc>
          <w:tcPr>
            <w:tcW w:w="1694"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水土保持</w:t>
            </w:r>
          </w:p>
        </w:tc>
        <w:tc>
          <w:tcPr>
            <w:tcW w:w="1694"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rPr>
            </w:pPr>
            <w:r>
              <w:rPr>
                <w:rFonts w:hint="eastAsia" w:ascii="仿宋_GB2312" w:hAnsi="仿宋_GB2312" w:cs="仿宋_GB2312"/>
                <w:sz w:val="26"/>
              </w:rPr>
              <w:drawing>
                <wp:anchor distT="0" distB="0" distL="114300" distR="114300" simplePos="0" relativeHeight="251675648" behindDoc="0" locked="0" layoutInCell="1" allowOverlap="1">
                  <wp:simplePos x="0" y="0"/>
                  <wp:positionH relativeFrom="column">
                    <wp:posOffset>36830</wp:posOffset>
                  </wp:positionH>
                  <wp:positionV relativeFrom="paragraph">
                    <wp:posOffset>40640</wp:posOffset>
                  </wp:positionV>
                  <wp:extent cx="895350" cy="518160"/>
                  <wp:effectExtent l="19050" t="0" r="0" b="0"/>
                  <wp:wrapNone/>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43" cstate="print"/>
                          <a:stretch>
                            <a:fillRect/>
                          </a:stretch>
                        </pic:blipFill>
                        <pic:spPr>
                          <a:xfrm>
                            <a:off x="0" y="0"/>
                            <a:ext cx="895350" cy="518160"/>
                          </a:xfrm>
                          <a:prstGeom prst="rect">
                            <a:avLst/>
                          </a:prstGeom>
                          <a:noFill/>
                          <a:ln w="9525">
                            <a:noFill/>
                          </a:ln>
                        </pic:spPr>
                      </pic:pic>
                    </a:graphicData>
                  </a:graphic>
                </wp:anchor>
              </w:drawing>
            </w:r>
          </w:p>
        </w:tc>
      </w:tr>
    </w:tbl>
    <w:p>
      <w:pPr>
        <w:spacing w:before="156" w:line="240" w:lineRule="atLeast"/>
        <w:ind w:right="-480" w:rightChars="-200" w:firstLine="0" w:firstLineChars="0"/>
        <w:rPr>
          <w:rFonts w:eastAsia="黑体"/>
          <w:b/>
          <w:bCs/>
          <w:sz w:val="36"/>
          <w:szCs w:val="44"/>
        </w:rPr>
      </w:pPr>
    </w:p>
    <w:p>
      <w:pPr>
        <w:spacing w:before="156" w:line="240" w:lineRule="atLeast"/>
        <w:ind w:left="-480" w:leftChars="-200" w:right="-480" w:rightChars="-200" w:firstLine="0" w:firstLineChars="0"/>
        <w:jc w:val="center"/>
        <w:rPr>
          <w:rFonts w:eastAsia="黑体"/>
          <w:b/>
          <w:bCs/>
          <w:sz w:val="36"/>
          <w:szCs w:val="44"/>
        </w:rPr>
      </w:pPr>
    </w:p>
    <w:p>
      <w:pPr>
        <w:spacing w:beforeLines="40" w:line="240" w:lineRule="auto"/>
        <w:ind w:firstLine="0" w:firstLineChars="0"/>
        <w:jc w:val="center"/>
        <w:rPr>
          <w:rFonts w:eastAsiaTheme="majorEastAsia"/>
          <w:b/>
          <w:bCs/>
          <w:sz w:val="32"/>
          <w:szCs w:val="32"/>
        </w:rPr>
        <w:sectPr>
          <w:pgSz w:w="11906" w:h="16838"/>
          <w:pgMar w:top="1440" w:right="1800" w:bottom="1440" w:left="1800" w:header="851" w:footer="992" w:gutter="0"/>
          <w:cols w:space="425" w:num="1"/>
          <w:docGrid w:type="lines" w:linePitch="312" w:charSpace="0"/>
        </w:sectPr>
      </w:pPr>
    </w:p>
    <w:p>
      <w:pPr>
        <w:pStyle w:val="2"/>
        <w:numPr>
          <w:ilvl w:val="0"/>
          <w:numId w:val="0"/>
        </w:numPr>
        <w:spacing w:before="156"/>
        <w:jc w:val="center"/>
        <w:rPr>
          <w:sz w:val="32"/>
          <w:szCs w:val="32"/>
        </w:rPr>
      </w:pPr>
      <w:bookmarkStart w:id="0" w:name="_Toc484280742"/>
      <w:bookmarkStart w:id="1" w:name="_Toc16757"/>
      <w:bookmarkStart w:id="2" w:name="_Toc515294429"/>
      <w:bookmarkStart w:id="3" w:name="_Toc23846"/>
      <w:bookmarkStart w:id="4" w:name="_Toc489976957"/>
      <w:bookmarkStart w:id="5" w:name="_Toc27260"/>
      <w:bookmarkStart w:id="6" w:name="_Toc1637"/>
      <w:r>
        <w:rPr>
          <w:sz w:val="32"/>
          <w:szCs w:val="32"/>
        </w:rPr>
        <w:t>前</w:t>
      </w:r>
      <w:r>
        <w:rPr>
          <w:sz w:val="32"/>
          <w:szCs w:val="32"/>
          <w:vertAlign w:val="superscript"/>
        </w:rPr>
        <w:t xml:space="preserve"> </w:t>
      </w:r>
      <w:r>
        <w:rPr>
          <w:sz w:val="32"/>
          <w:szCs w:val="32"/>
        </w:rPr>
        <w:t>言</w:t>
      </w:r>
      <w:bookmarkEnd w:id="0"/>
      <w:bookmarkEnd w:id="1"/>
      <w:bookmarkEnd w:id="2"/>
      <w:bookmarkEnd w:id="3"/>
      <w:bookmarkEnd w:id="4"/>
      <w:bookmarkEnd w:id="5"/>
      <w:bookmarkEnd w:id="6"/>
    </w:p>
    <w:p>
      <w:pPr>
        <w:spacing w:before="120"/>
        <w:ind w:firstLine="480"/>
        <w:rPr>
          <w:rFonts w:hint="eastAsia"/>
        </w:rPr>
      </w:pPr>
      <w:r>
        <w:rPr>
          <w:rFonts w:hint="eastAsia"/>
        </w:rPr>
        <w:t>雅江县柯拉供电片区主要包括柯拉乡、德差乡，两个乡镇共计1076户约 5064人。目前，雅江县柯拉乡由35kV柯拉简易变电站供电，柯拉简易变电站主变容量800kVA，由于柯拉简易变电站站址位置海拔高达4650m，站址位置常年遭受大风、</w:t>
      </w:r>
      <w:r>
        <w:rPr>
          <w:rFonts w:hint="eastAsia"/>
          <w:lang w:val="en-US" w:eastAsia="zh-CN"/>
        </w:rPr>
        <w:t>大雪</w:t>
      </w:r>
      <w:r>
        <w:rPr>
          <w:rFonts w:hint="eastAsia"/>
        </w:rPr>
        <w:t>、冰雹等</w:t>
      </w:r>
      <w:r>
        <w:rPr>
          <w:rFonts w:hint="eastAsia"/>
          <w:lang w:val="en-US" w:eastAsia="zh-CN"/>
        </w:rPr>
        <w:t>恶劣天气</w:t>
      </w:r>
      <w:r>
        <w:rPr>
          <w:rFonts w:hint="eastAsia"/>
        </w:rPr>
        <w:t>影响，站内设备受到严重损坏，站址出现沉降及地面断裂现象，致使柯拉简易变电站不能向柯拉乡提高连续、稳定的电源，导致柯拉乡供电质量差，经常出现断电情况，低电压情况较严重。</w:t>
      </w:r>
    </w:p>
    <w:p>
      <w:pPr>
        <w:spacing w:before="120"/>
        <w:ind w:firstLine="480"/>
        <w:rPr>
          <w:rFonts w:hint="eastAsia"/>
        </w:rPr>
      </w:pPr>
      <w:r>
        <w:rPr>
          <w:rFonts w:hint="eastAsia"/>
        </w:rPr>
        <w:t>甘孜雅江柯拉35千伏输变电工程的建设主要为满足柯拉供电片区的负荷发展要求；改善供电质量，增强供电可靠性；提高设备装备水平，减少运行维护工作量。保障片区有持续可靠供电能力；响应国家脱贫攻坚任务要求，改善当地居民生活、生产条件，完成脱贫任务，甘孜雅江柯拉35千伏输变电工程的建设是非常迫切的、必要的。</w:t>
      </w:r>
    </w:p>
    <w:p>
      <w:pPr>
        <w:spacing w:before="120"/>
        <w:ind w:firstLine="480"/>
      </w:pPr>
      <w:r>
        <w:rPr>
          <w:rFonts w:hint="default" w:ascii="Times New Roman" w:hAnsi="Times New Roman" w:eastAsia="仿宋_GB2312" w:cs="Times New Roman"/>
          <w:color w:val="000000" w:themeColor="text1"/>
          <w:sz w:val="24"/>
          <w:szCs w:val="24"/>
          <w:lang w:val="en-US" w:eastAsia="zh-CN" w:bidi="ar"/>
        </w:rPr>
        <w:t>2019</w:t>
      </w:r>
      <w:r>
        <w:rPr>
          <w:rFonts w:hint="eastAsia" w:ascii="Times New Roman" w:hAnsi="Times New Roman" w:eastAsia="仿宋_GB2312" w:cs="Times New Roman"/>
          <w:color w:val="000000" w:themeColor="text1"/>
          <w:sz w:val="24"/>
          <w:szCs w:val="24"/>
          <w:lang w:val="en-US" w:eastAsia="zh-CN" w:bidi="ar"/>
        </w:rPr>
        <w:t>年</w:t>
      </w:r>
      <w:r>
        <w:rPr>
          <w:rFonts w:hint="default" w:ascii="Times New Roman" w:hAnsi="Times New Roman" w:eastAsia="仿宋_GB2312" w:cs="Times New Roman"/>
          <w:color w:val="000000" w:themeColor="text1"/>
          <w:sz w:val="24"/>
          <w:szCs w:val="24"/>
          <w:lang w:val="en-US" w:eastAsia="zh-CN" w:bidi="ar"/>
        </w:rPr>
        <w:t>1</w:t>
      </w:r>
      <w:r>
        <w:rPr>
          <w:rFonts w:hint="eastAsia" w:ascii="Times New Roman" w:hAnsi="Times New Roman" w:eastAsia="仿宋_GB2312" w:cs="Times New Roman"/>
          <w:color w:val="000000" w:themeColor="text1"/>
          <w:sz w:val="24"/>
          <w:szCs w:val="24"/>
          <w:lang w:val="en-US" w:eastAsia="zh-CN" w:bidi="ar"/>
        </w:rPr>
        <w:t>月</w:t>
      </w:r>
      <w:r>
        <w:rPr>
          <w:rFonts w:hint="default" w:ascii="Times New Roman" w:hAnsi="Times New Roman" w:eastAsia="仿宋_GB2312" w:cs="Times New Roman"/>
          <w:color w:val="000000" w:themeColor="text1"/>
          <w:sz w:val="24"/>
          <w:szCs w:val="24"/>
          <w:lang w:val="en-US" w:eastAsia="zh-CN" w:bidi="ar"/>
        </w:rPr>
        <w:t>16</w:t>
      </w:r>
      <w:r>
        <w:rPr>
          <w:rFonts w:hint="eastAsia" w:ascii="Times New Roman" w:hAnsi="Times New Roman" w:eastAsia="仿宋_GB2312" w:cs="Times New Roman"/>
          <w:color w:val="000000" w:themeColor="text1"/>
          <w:sz w:val="24"/>
          <w:szCs w:val="24"/>
          <w:lang w:val="en-US" w:eastAsia="zh-CN" w:bidi="ar"/>
        </w:rPr>
        <w:t>日，甘孜州发展和改革委员会以《关于核准甘孜雅江柯拉</w:t>
      </w:r>
      <w:r>
        <w:rPr>
          <w:rFonts w:hint="default" w:ascii="Times New Roman" w:hAnsi="Times New Roman" w:eastAsia="仿宋_GB2312" w:cs="Times New Roman"/>
          <w:color w:val="000000" w:themeColor="text1"/>
          <w:sz w:val="24"/>
          <w:szCs w:val="24"/>
          <w:lang w:val="en-US" w:eastAsia="zh-CN" w:bidi="ar"/>
        </w:rPr>
        <w:t xml:space="preserve"> 35</w:t>
      </w:r>
      <w:r>
        <w:rPr>
          <w:rFonts w:hint="eastAsia" w:ascii="Times New Roman" w:hAnsi="Times New Roman" w:eastAsia="仿宋_GB2312" w:cs="Times New Roman"/>
          <w:color w:val="000000" w:themeColor="text1"/>
          <w:sz w:val="24"/>
          <w:szCs w:val="24"/>
          <w:lang w:val="en-US" w:eastAsia="zh-CN" w:bidi="ar"/>
        </w:rPr>
        <w:t>千伏输变电工程项目的批复》（甘发改</w:t>
      </w:r>
      <w:r>
        <w:rPr>
          <w:rFonts w:hint="default" w:ascii="Times New Roman" w:hAnsi="Times New Roman" w:eastAsia="仿宋_GB2312" w:cs="Times New Roman"/>
          <w:color w:val="000000" w:themeColor="text1"/>
          <w:sz w:val="24"/>
          <w:szCs w:val="24"/>
          <w:lang w:val="en-US" w:eastAsia="zh-CN" w:bidi="ar"/>
        </w:rPr>
        <w:t>[2019]32</w:t>
      </w:r>
      <w:r>
        <w:rPr>
          <w:rFonts w:hint="eastAsia" w:ascii="Times New Roman" w:hAnsi="Times New Roman" w:eastAsia="仿宋_GB2312" w:cs="Times New Roman"/>
          <w:color w:val="000000" w:themeColor="text1"/>
          <w:sz w:val="24"/>
          <w:szCs w:val="24"/>
          <w:lang w:val="en-US" w:eastAsia="zh-CN" w:bidi="ar"/>
        </w:rPr>
        <w:t>号）对项目进行了核准</w:t>
      </w:r>
      <w:r>
        <w:rPr>
          <w:rFonts w:hint="eastAsia" w:cs="Times New Roman"/>
          <w:color w:val="000000" w:themeColor="text1"/>
          <w:sz w:val="24"/>
          <w:szCs w:val="24"/>
          <w:lang w:val="en-US" w:eastAsia="zh-CN" w:bidi="ar"/>
        </w:rPr>
        <w:t>。</w:t>
      </w:r>
      <w:r>
        <w:rPr>
          <w:bCs/>
        </w:rPr>
        <w:t>20</w:t>
      </w:r>
      <w:r>
        <w:rPr>
          <w:rFonts w:hint="eastAsia"/>
          <w:bCs/>
          <w:lang w:val="en-US" w:eastAsia="zh-CN"/>
        </w:rPr>
        <w:t>18</w:t>
      </w:r>
      <w:r>
        <w:rPr>
          <w:bCs/>
        </w:rPr>
        <w:t>年</w:t>
      </w:r>
      <w:r>
        <w:rPr>
          <w:rFonts w:hint="eastAsia"/>
          <w:bCs/>
          <w:lang w:val="en-US" w:eastAsia="zh-CN"/>
        </w:rPr>
        <w:t>12</w:t>
      </w:r>
      <w:r>
        <w:rPr>
          <w:bCs/>
        </w:rPr>
        <w:t>月，国网四川省电力公司甘孜供电公司委托四川联合建设工程设计有限公司编制本项目的水土保持方案报告书，四川联合建设工程设计有限公司于2019年</w:t>
      </w:r>
      <w:r>
        <w:rPr>
          <w:rFonts w:hint="eastAsia"/>
          <w:bCs/>
          <w:lang w:val="en-US" w:eastAsia="zh-CN"/>
        </w:rPr>
        <w:t>3</w:t>
      </w:r>
      <w:r>
        <w:rPr>
          <w:bCs/>
        </w:rPr>
        <w:t>月编制完成</w:t>
      </w:r>
      <w:r>
        <w:t>《</w:t>
      </w:r>
      <w:r>
        <w:rPr>
          <w:rFonts w:hint="eastAsia"/>
          <w:lang w:eastAsia="zh-CN"/>
        </w:rPr>
        <w:t>甘孜雅江柯拉35千伏输变电工程</w:t>
      </w:r>
      <w:r>
        <w:t>水土保持方案报告书（报批稿）》。2019年</w:t>
      </w:r>
      <w:r>
        <w:rPr>
          <w:rFonts w:hint="eastAsia"/>
          <w:lang w:val="en-US" w:eastAsia="zh-CN"/>
        </w:rPr>
        <w:t>3</w:t>
      </w:r>
      <w:r>
        <w:t>月</w:t>
      </w:r>
      <w:r>
        <w:rPr>
          <w:rFonts w:hint="eastAsia"/>
          <w:lang w:val="en-US" w:eastAsia="zh-CN"/>
        </w:rPr>
        <w:t>28日</w:t>
      </w:r>
      <w:r>
        <w:t>，甘孜州水利局以《关于</w:t>
      </w:r>
      <w:r>
        <w:rPr>
          <w:rFonts w:hint="eastAsia"/>
        </w:rPr>
        <w:t>对</w:t>
      </w:r>
      <w:r>
        <w:rPr>
          <w:rFonts w:hint="eastAsia"/>
          <w:lang w:eastAsia="zh-CN"/>
        </w:rPr>
        <w:t>甘孜雅江柯拉35千伏输变电工程</w:t>
      </w:r>
      <w:r>
        <w:t>水土保持方案报告书的批复》（甘水审[2019]</w:t>
      </w:r>
      <w:r>
        <w:rPr>
          <w:rFonts w:hint="eastAsia"/>
          <w:lang w:val="en-US" w:eastAsia="zh-CN"/>
        </w:rPr>
        <w:t>34</w:t>
      </w:r>
      <w:r>
        <w:t>号）对该项目水土保持方案进行了批复。</w:t>
      </w:r>
    </w:p>
    <w:p>
      <w:pPr>
        <w:spacing w:before="120"/>
        <w:ind w:firstLine="480"/>
      </w:pPr>
      <w:r>
        <w:rPr>
          <w:rFonts w:hint="eastAsia"/>
          <w:lang w:eastAsia="zh-CN"/>
        </w:rPr>
        <w:t>甘孜雅江柯拉35千伏输变电工程</w:t>
      </w:r>
      <w:r>
        <w:rPr>
          <w:rFonts w:hint="eastAsia"/>
        </w:rPr>
        <w:t>位于甘孜州雅江县境内。项目建设性质为新建建设类项目，建设单位为国网四川省电力公司甘孜供电公司。项目主要由柯拉35kV变电站新建工程、柯拉35kV变电站线路新建工程和系统通信工程等 3 部分组成</w:t>
      </w:r>
      <w:r>
        <w:t>。</w:t>
      </w:r>
    </w:p>
    <w:p>
      <w:pPr>
        <w:spacing w:before="120"/>
        <w:ind w:firstLine="480"/>
      </w:pPr>
      <w:r>
        <w:t>本项目水土保持方案为</w:t>
      </w:r>
      <w:r>
        <w:rPr>
          <w:rFonts w:hint="eastAsia"/>
          <w:lang w:val="en-US" w:eastAsia="zh-CN"/>
        </w:rPr>
        <w:t>初步设计</w:t>
      </w:r>
      <w:r>
        <w:t>深度，在项目实际建设过程中，经现场调查核实，本工程主体工程及水土保持措施与原方案设计相比较，水土流失防治措施布局及大体框架相同，无重大变更。项目相关水土保持措施后续设计由相应主体设计单位</w:t>
      </w:r>
      <w:r>
        <w:rPr>
          <w:rFonts w:hint="eastAsia"/>
          <w:szCs w:val="28"/>
          <w:lang w:eastAsia="zh-CN"/>
        </w:rPr>
        <w:t>成都城电电力工程设计有限公司</w:t>
      </w:r>
      <w:r>
        <w:t>完成，水土保持监理工作由主体监理单位</w:t>
      </w:r>
      <w:r>
        <w:rPr>
          <w:rFonts w:hint="eastAsia"/>
          <w:bCs/>
        </w:rPr>
        <w:t>四川电力工程建设监理有限责任公司</w:t>
      </w:r>
      <w:r>
        <w:t>一并承担。</w:t>
      </w:r>
    </w:p>
    <w:p>
      <w:pPr>
        <w:spacing w:before="120"/>
        <w:ind w:firstLine="480"/>
      </w:pPr>
      <w:r>
        <w:rPr>
          <w:snapToGrid w:val="0"/>
          <w:kern w:val="0"/>
        </w:rPr>
        <w:t>国网四川省电力公司甘孜供电公司</w:t>
      </w:r>
      <w:r>
        <w:t>基本完成各项水土保持设施建设。根据《四川省水利厅转发水利部关于加强事中事后监管规范生产建设项目水土保持设施自主验收的通知》(川水函〔2018〕887号)及《开发建设项目水土保持设施验收技术规程》等有关法律法规的规定，</w:t>
      </w:r>
      <w:r>
        <w:rPr>
          <w:snapToGrid w:val="0"/>
          <w:kern w:val="0"/>
        </w:rPr>
        <w:t>国网四川省电力公司甘孜供电公司</w:t>
      </w:r>
      <w:r>
        <w:t>于20</w:t>
      </w:r>
      <w:r>
        <w:rPr>
          <w:rFonts w:hint="eastAsia"/>
          <w:lang w:val="en-US" w:eastAsia="zh-CN"/>
        </w:rPr>
        <w:t>19</w:t>
      </w:r>
      <w:r>
        <w:t>年</w:t>
      </w:r>
      <w:r>
        <w:rPr>
          <w:rFonts w:hint="eastAsia"/>
          <w:lang w:val="en-US" w:eastAsia="zh-CN"/>
        </w:rPr>
        <w:t>12</w:t>
      </w:r>
      <w:r>
        <w:t>月委托浙江中水工程技术有限公司（以下简称“我公司”）开展</w:t>
      </w:r>
      <w:r>
        <w:rPr>
          <w:rFonts w:hint="eastAsia"/>
          <w:lang w:eastAsia="zh-CN"/>
        </w:rPr>
        <w:t>甘孜雅江柯拉35千伏输变电工程</w:t>
      </w:r>
      <w:r>
        <w:t>的水土保持设施</w:t>
      </w:r>
      <w:r>
        <w:rPr>
          <w:rFonts w:hint="eastAsia"/>
          <w:lang w:eastAsia="zh-CN"/>
        </w:rPr>
        <w:t>完工</w:t>
      </w:r>
      <w:r>
        <w:t>验收报告编制工作。我公司接受委托后积极组织有关专业技术人员开展本项目水土保持设施验收前报告的调查和编制工作。</w:t>
      </w:r>
    </w:p>
    <w:p>
      <w:pPr>
        <w:spacing w:before="120"/>
        <w:ind w:firstLine="480"/>
      </w:pPr>
      <w:r>
        <w:t>我公司首先成立了由水土保持、水工、林学、财务经济等方面专业人员组成的项目水土保持设施验收报告编制组，在20</w:t>
      </w:r>
      <w:r>
        <w:rPr>
          <w:rFonts w:hint="eastAsia"/>
        </w:rPr>
        <w:t>20</w:t>
      </w:r>
      <w:r>
        <w:t>年</w:t>
      </w:r>
      <w:r>
        <w:rPr>
          <w:rFonts w:hint="eastAsia"/>
          <w:lang w:val="en-US" w:eastAsia="zh-CN"/>
        </w:rPr>
        <w:t>12</w:t>
      </w:r>
      <w:r>
        <w:t>月，我公司进入工程现场，并结合资料分析，对工程水土保持方案落实情况、水土保持措施及投资、水土流失防治工作及防治效果等方面进行调查，报告编制组多次对工程现场进行了实地查勘，并提出了现场整改完善建议，根据整改情况进行了复查。经现场调查复核及抽样检查，本工程的各项水土保持工程措施外观质量稳定，运行情况良好；植被生长状况良好，控制水土流失效果较为明显；项目区水土流失得到有效控制，可达到水土保持设施验收要求。</w:t>
      </w:r>
    </w:p>
    <w:p>
      <w:pPr>
        <w:spacing w:before="120"/>
        <w:ind w:firstLine="480"/>
        <w:rPr>
          <w:color w:val="000000" w:themeColor="text1"/>
        </w:rPr>
      </w:pPr>
      <w:r>
        <w:t>20</w:t>
      </w:r>
      <w:r>
        <w:rPr>
          <w:rFonts w:hint="eastAsia"/>
        </w:rPr>
        <w:t>2</w:t>
      </w:r>
      <w:r>
        <w:rPr>
          <w:rFonts w:hint="eastAsia"/>
          <w:lang w:val="en-US" w:eastAsia="zh-CN"/>
        </w:rPr>
        <w:t>1</w:t>
      </w:r>
      <w:r>
        <w:t>年</w:t>
      </w:r>
      <w:r>
        <w:rPr>
          <w:rFonts w:hint="eastAsia"/>
        </w:rPr>
        <w:t>1</w:t>
      </w:r>
      <w:r>
        <w:t>月，我公司组织相关工程、植物相关专业技术人员对水土保持措施中的防洪排导工程、土地整治工程</w:t>
      </w:r>
      <w:r>
        <w:rPr>
          <w:color w:val="000000" w:themeColor="text1"/>
        </w:rPr>
        <w:t>及植被建设工程进行了现场核查。核查的分部工程包括排洪导流设施、场地整治、点片状植被共3个</w:t>
      </w:r>
      <w:r>
        <w:rPr>
          <w:rFonts w:hint="eastAsia"/>
          <w:color w:val="000000" w:themeColor="text1"/>
        </w:rPr>
        <w:t>单位</w:t>
      </w:r>
      <w:r>
        <w:rPr>
          <w:color w:val="000000" w:themeColor="text1"/>
        </w:rPr>
        <w:t>工程。对工程措施如截排水主要核查其外观质量及几何尺寸检查；对场地整治主要核查其覆土厚度，平整度现场检查；对植物措施采用样方调查。</w:t>
      </w:r>
    </w:p>
    <w:p>
      <w:pPr>
        <w:spacing w:before="120"/>
        <w:ind w:firstLine="480"/>
        <w:jc w:val="left"/>
        <w:rPr>
          <w:color w:val="0000FF"/>
        </w:rPr>
      </w:pPr>
      <w:r>
        <w:rPr>
          <w:color w:val="000000" w:themeColor="text1"/>
        </w:rPr>
        <w:t>资料检查及现场检查结果表明：本工程抽查单元工程共</w:t>
      </w:r>
      <w:r>
        <w:rPr>
          <w:rFonts w:hint="eastAsia"/>
          <w:color w:val="000000" w:themeColor="text1"/>
          <w:lang w:val="en-US" w:eastAsia="zh-CN"/>
        </w:rPr>
        <w:t>24</w:t>
      </w:r>
      <w:r>
        <w:rPr>
          <w:color w:val="000000" w:themeColor="text1"/>
        </w:rPr>
        <w:t>个，</w:t>
      </w:r>
      <w:r>
        <w:rPr>
          <w:rFonts w:hint="eastAsia"/>
          <w:color w:val="000000" w:themeColor="text1"/>
          <w:lang w:val="en-US" w:eastAsia="zh-CN"/>
        </w:rPr>
        <w:t>24</w:t>
      </w:r>
      <w:r>
        <w:rPr>
          <w:color w:val="000000" w:themeColor="text1"/>
        </w:rPr>
        <w:t>个单元工程全部合格，合格率100%；</w:t>
      </w:r>
      <w:r>
        <w:rPr>
          <w:rFonts w:hint="eastAsia"/>
          <w:color w:val="000000" w:themeColor="text1"/>
        </w:rPr>
        <w:t>6</w:t>
      </w:r>
      <w:r>
        <w:rPr>
          <w:color w:val="000000" w:themeColor="text1"/>
        </w:rPr>
        <w:t>个分部工程全部合格，合格率100%；3个单位工程全部评定为合格，合格率100%。项目区各项水土保持单位工程总体合格，水土保持措施布局合理，质量符合设计要求，起到了良好的水土流失防治、绿化美化、植被恢复等多重效果，具备验收条件。</w:t>
      </w:r>
    </w:p>
    <w:p>
      <w:pPr>
        <w:spacing w:before="120"/>
        <w:ind w:firstLine="480"/>
        <w:jc w:val="left"/>
      </w:pPr>
      <w:r>
        <w:rPr>
          <w:color w:val="000000" w:themeColor="text1"/>
        </w:rPr>
        <w:t>本工程于2019年</w:t>
      </w:r>
      <w:r>
        <w:rPr>
          <w:rFonts w:hint="eastAsia"/>
          <w:color w:val="000000" w:themeColor="text1"/>
          <w:lang w:val="en-US" w:eastAsia="zh-CN"/>
        </w:rPr>
        <w:t>4</w:t>
      </w:r>
      <w:r>
        <w:rPr>
          <w:color w:val="000000" w:themeColor="text1"/>
        </w:rPr>
        <w:t>月</w:t>
      </w:r>
      <w:r>
        <w:rPr>
          <w:rFonts w:hint="eastAsia"/>
          <w:color w:val="000000" w:themeColor="text1"/>
          <w:lang w:val="en-US" w:eastAsia="zh-CN"/>
        </w:rPr>
        <w:t>25</w:t>
      </w:r>
      <w:r>
        <w:rPr>
          <w:color w:val="000000" w:themeColor="text1"/>
        </w:rPr>
        <w:t>日开工，20</w:t>
      </w:r>
      <w:r>
        <w:rPr>
          <w:rFonts w:hint="eastAsia"/>
          <w:color w:val="000000" w:themeColor="text1"/>
          <w:lang w:val="en-US" w:eastAsia="zh-CN"/>
        </w:rPr>
        <w:t>19</w:t>
      </w:r>
      <w:r>
        <w:rPr>
          <w:color w:val="000000" w:themeColor="text1"/>
        </w:rPr>
        <w:t>年</w:t>
      </w:r>
      <w:r>
        <w:rPr>
          <w:rFonts w:hint="eastAsia"/>
          <w:color w:val="000000" w:themeColor="text1"/>
          <w:lang w:val="en-US" w:eastAsia="zh-CN"/>
        </w:rPr>
        <w:t>11</w:t>
      </w:r>
      <w:r>
        <w:rPr>
          <w:color w:val="000000" w:themeColor="text1"/>
        </w:rPr>
        <w:t>月</w:t>
      </w:r>
      <w:r>
        <w:rPr>
          <w:rFonts w:hint="eastAsia"/>
          <w:color w:val="000000" w:themeColor="text1"/>
          <w:lang w:val="en-US" w:eastAsia="zh-CN"/>
        </w:rPr>
        <w:t>1</w:t>
      </w:r>
      <w:r>
        <w:rPr>
          <w:color w:val="000000" w:themeColor="text1"/>
        </w:rPr>
        <w:t>日完工，建设总工期</w:t>
      </w:r>
      <w:r>
        <w:rPr>
          <w:rFonts w:hint="eastAsia"/>
          <w:color w:val="000000" w:themeColor="text1"/>
          <w:lang w:val="en-US" w:eastAsia="zh-CN"/>
        </w:rPr>
        <w:t>6</w:t>
      </w:r>
      <w:r>
        <w:rPr>
          <w:color w:val="000000" w:themeColor="text1"/>
        </w:rPr>
        <w:t>个月。</w:t>
      </w:r>
      <w:r>
        <w:t>本项目</w:t>
      </w:r>
      <w:r>
        <w:rPr>
          <w:rFonts w:hint="eastAsia"/>
        </w:rPr>
        <w:t>实际</w:t>
      </w:r>
      <w:r>
        <w:t>土石</w:t>
      </w:r>
      <w:r>
        <w:rPr>
          <w:rFonts w:hint="eastAsia"/>
        </w:rPr>
        <w:t>方</w:t>
      </w:r>
      <w:r>
        <w:rPr>
          <w:rFonts w:hint="eastAsia"/>
          <w:lang w:val="en-US" w:eastAsia="zh-CN"/>
        </w:rPr>
        <w:t>总挖方</w:t>
      </w:r>
      <w:r>
        <w:rPr>
          <w:rFonts w:hint="eastAsia"/>
        </w:rPr>
        <w:t>0.</w:t>
      </w:r>
      <w:r>
        <w:rPr>
          <w:rFonts w:hint="eastAsia"/>
          <w:lang w:val="en-US" w:eastAsia="zh-CN"/>
        </w:rPr>
        <w:t>55</w:t>
      </w:r>
      <w:r>
        <w:rPr>
          <w:rFonts w:hint="eastAsia"/>
        </w:rPr>
        <w:t>万m</w:t>
      </w:r>
      <w:r>
        <w:rPr>
          <w:rFonts w:hint="eastAsia"/>
          <w:vertAlign w:val="superscript"/>
        </w:rPr>
        <w:t>3</w:t>
      </w:r>
      <w:r>
        <w:rPr>
          <w:rFonts w:hint="eastAsia"/>
        </w:rPr>
        <w:t>(含剥离表土0.0</w:t>
      </w:r>
      <w:r>
        <w:rPr>
          <w:rFonts w:hint="eastAsia"/>
          <w:lang w:val="en-US" w:eastAsia="zh-CN"/>
        </w:rPr>
        <w:t>5</w:t>
      </w:r>
      <w:r>
        <w:rPr>
          <w:rFonts w:hint="eastAsia"/>
        </w:rPr>
        <w:t>万m</w:t>
      </w:r>
      <w:r>
        <w:rPr>
          <w:rFonts w:hint="eastAsia"/>
          <w:vertAlign w:val="superscript"/>
        </w:rPr>
        <w:t>3</w:t>
      </w:r>
      <w:r>
        <w:rPr>
          <w:rFonts w:hint="eastAsia"/>
        </w:rPr>
        <w:t>)，回填0.</w:t>
      </w:r>
      <w:r>
        <w:rPr>
          <w:rFonts w:hint="eastAsia"/>
          <w:lang w:val="en-US" w:eastAsia="zh-CN"/>
        </w:rPr>
        <w:t>55</w:t>
      </w:r>
      <w:r>
        <w:rPr>
          <w:rFonts w:hint="eastAsia"/>
        </w:rPr>
        <w:t>万m</w:t>
      </w:r>
      <w:r>
        <w:rPr>
          <w:rFonts w:hint="eastAsia"/>
          <w:vertAlign w:val="superscript"/>
        </w:rPr>
        <w:t>3</w:t>
      </w:r>
      <w:r>
        <w:rPr>
          <w:rFonts w:hint="eastAsia"/>
        </w:rPr>
        <w:t>（含覆土0.0</w:t>
      </w:r>
      <w:r>
        <w:rPr>
          <w:rFonts w:hint="eastAsia"/>
          <w:lang w:val="en-US" w:eastAsia="zh-CN"/>
        </w:rPr>
        <w:t>5</w:t>
      </w:r>
      <w:r>
        <w:rPr>
          <w:rFonts w:hint="eastAsia"/>
        </w:rPr>
        <w:t>万m</w:t>
      </w:r>
      <w:r>
        <w:rPr>
          <w:rFonts w:hint="eastAsia"/>
          <w:vertAlign w:val="superscript"/>
        </w:rPr>
        <w:t>3</w:t>
      </w:r>
      <w:r>
        <w:rPr>
          <w:rFonts w:hint="eastAsia"/>
        </w:rPr>
        <w:t>），</w:t>
      </w:r>
      <w:r>
        <w:rPr>
          <w:rFonts w:hint="eastAsia"/>
          <w:lang w:val="en-US" w:eastAsia="zh-CN"/>
        </w:rPr>
        <w:t>产生余方</w:t>
      </w:r>
      <w:r>
        <w:rPr>
          <w:rFonts w:hint="eastAsia"/>
        </w:rPr>
        <w:t>0.</w:t>
      </w:r>
      <w:r>
        <w:rPr>
          <w:rFonts w:hint="eastAsia"/>
          <w:lang w:val="en-US" w:eastAsia="zh-CN"/>
        </w:rPr>
        <w:t>14</w:t>
      </w:r>
      <w:r>
        <w:rPr>
          <w:rFonts w:hint="eastAsia"/>
        </w:rPr>
        <w:t>万m</w:t>
      </w:r>
      <w:r>
        <w:rPr>
          <w:rFonts w:hint="eastAsia"/>
          <w:vertAlign w:val="superscript"/>
        </w:rPr>
        <w:t>3</w:t>
      </w:r>
      <w:r>
        <w:t>，</w:t>
      </w:r>
      <w:r>
        <w:rPr>
          <w:rFonts w:hint="eastAsia" w:ascii="Times New Roman" w:hAnsi="Times New Roman" w:eastAsia="仿宋_GB2312" w:cs="Times New Roman"/>
          <w:kern w:val="2"/>
          <w:sz w:val="24"/>
          <w:szCs w:val="24"/>
          <w:lang w:val="en-US" w:eastAsia="zh-CN" w:bidi="ar"/>
        </w:rPr>
        <w:t>无弃方产生，不设置弃土场，各分区余方分别在变电站区、塔基及塔基施工临时占地区进行摊平处理</w:t>
      </w:r>
      <w:r>
        <w:rPr>
          <w:rFonts w:hint="eastAsia"/>
          <w:color w:val="000000" w:themeColor="text1"/>
        </w:rPr>
        <w:t>。</w:t>
      </w:r>
      <w:r>
        <w:rPr>
          <w:color w:val="000000" w:themeColor="text1"/>
        </w:rPr>
        <w:t>实际防治责任面积为</w:t>
      </w:r>
      <w:r>
        <w:rPr>
          <w:rFonts w:hint="eastAsia"/>
          <w:color w:val="000000" w:themeColor="text1"/>
          <w:lang w:eastAsia="zh-CN"/>
        </w:rPr>
        <w:t>1.81</w:t>
      </w:r>
      <w:r>
        <w:rPr>
          <w:color w:val="000000" w:themeColor="text1"/>
        </w:rPr>
        <w:t>hm</w:t>
      </w:r>
      <w:r>
        <w:rPr>
          <w:color w:val="000000" w:themeColor="text1"/>
          <w:vertAlign w:val="superscript"/>
        </w:rPr>
        <w:t>2</w:t>
      </w:r>
      <w:r>
        <w:rPr>
          <w:color w:val="000000" w:themeColor="text1"/>
        </w:rPr>
        <w:t>，</w:t>
      </w:r>
      <w:r>
        <w:rPr>
          <w:rFonts w:hint="eastAsia"/>
          <w:color w:val="000000" w:themeColor="text1"/>
        </w:rPr>
        <w:t>与批复水土保持方案比较减少0.</w:t>
      </w:r>
      <w:r>
        <w:rPr>
          <w:color w:val="000000" w:themeColor="text1"/>
        </w:rPr>
        <w:t>0</w:t>
      </w:r>
      <w:r>
        <w:rPr>
          <w:rFonts w:hint="eastAsia"/>
          <w:color w:val="000000" w:themeColor="text1"/>
          <w:lang w:val="en-US" w:eastAsia="zh-CN"/>
        </w:rPr>
        <w:t>4</w:t>
      </w:r>
      <w:r>
        <w:rPr>
          <w:color w:val="000000" w:themeColor="text1"/>
        </w:rPr>
        <w:t>hm</w:t>
      </w:r>
      <w:r>
        <w:rPr>
          <w:color w:val="000000" w:themeColor="text1"/>
          <w:vertAlign w:val="superscript"/>
        </w:rPr>
        <w:t>2</w:t>
      </w:r>
      <w:r>
        <w:rPr>
          <w:color w:val="000000" w:themeColor="text1"/>
        </w:rPr>
        <w:t>。工程实际完成水土保持投资</w:t>
      </w:r>
      <w:r>
        <w:rPr>
          <w:rFonts w:hint="default" w:ascii="Times New Roman" w:hAnsi="Times New Roman" w:eastAsia="仿宋_GB2312" w:cs="Times New Roman"/>
          <w:color w:val="000000" w:themeColor="text1"/>
          <w:kern w:val="2"/>
          <w:sz w:val="24"/>
          <w:szCs w:val="24"/>
          <w:lang w:val="en-US" w:eastAsia="zh-CN" w:bidi="ar"/>
        </w:rPr>
        <w:t>67.15</w:t>
      </w:r>
      <w:r>
        <w:rPr>
          <w:rFonts w:hint="eastAsia" w:ascii="Times New Roman" w:hAnsi="Times New Roman" w:eastAsia="仿宋_GB2312" w:cs="Times New Roman"/>
          <w:color w:val="000000" w:themeColor="text1"/>
          <w:kern w:val="2"/>
          <w:sz w:val="24"/>
          <w:szCs w:val="24"/>
          <w:lang w:val="en-US" w:eastAsia="zh-CN" w:bidi="ar"/>
        </w:rPr>
        <w:t>万元，比批复的水土保持投资减少</w:t>
      </w:r>
      <w:r>
        <w:rPr>
          <w:rFonts w:hint="default" w:ascii="Times New Roman" w:hAnsi="Times New Roman" w:eastAsia="仿宋_GB2312" w:cs="Times New Roman"/>
          <w:color w:val="000000" w:themeColor="text1"/>
          <w:kern w:val="2"/>
          <w:sz w:val="24"/>
          <w:szCs w:val="24"/>
          <w:lang w:val="en-US" w:eastAsia="zh-CN" w:bidi="ar"/>
        </w:rPr>
        <w:t>0.31</w:t>
      </w:r>
      <w:r>
        <w:rPr>
          <w:rFonts w:hint="eastAsia" w:ascii="Times New Roman" w:hAnsi="Times New Roman" w:eastAsia="仿宋_GB2312" w:cs="Times New Roman"/>
          <w:color w:val="000000" w:themeColor="text1"/>
          <w:kern w:val="2"/>
          <w:sz w:val="24"/>
          <w:szCs w:val="24"/>
          <w:lang w:val="en-US" w:eastAsia="zh-CN" w:bidi="ar"/>
        </w:rPr>
        <w:t>万元</w:t>
      </w:r>
      <w:r>
        <w:rPr>
          <w:color w:val="000000" w:themeColor="text1"/>
        </w:rPr>
        <w:t>。通过各项水土保持措施的实施，工程区内水土保持措施已基本形成体系，取得了较好的水土保持工作成效。截至20</w:t>
      </w:r>
      <w:r>
        <w:rPr>
          <w:rFonts w:hint="eastAsia"/>
          <w:color w:val="000000" w:themeColor="text1"/>
        </w:rPr>
        <w:t>21</w:t>
      </w:r>
      <w:r>
        <w:rPr>
          <w:color w:val="000000" w:themeColor="text1"/>
        </w:rPr>
        <w:t>年</w:t>
      </w:r>
      <w:r>
        <w:rPr>
          <w:rFonts w:hint="eastAsia"/>
          <w:color w:val="000000" w:themeColor="text1"/>
          <w:lang w:val="en-US" w:eastAsia="zh-CN"/>
        </w:rPr>
        <w:t>3</w:t>
      </w:r>
      <w:r>
        <w:rPr>
          <w:color w:val="000000" w:themeColor="text1"/>
        </w:rPr>
        <w:t>月，</w:t>
      </w:r>
      <w:r>
        <w:rPr>
          <w:rFonts w:hint="eastAsia" w:ascii="Times New Roman" w:hAnsi="Times New Roman" w:eastAsia="仿宋_GB2312" w:cs="Times New Roman"/>
          <w:kern w:val="2"/>
          <w:sz w:val="24"/>
          <w:szCs w:val="24"/>
          <w:lang w:val="en-US" w:eastAsia="zh-CN" w:bidi="ar"/>
        </w:rPr>
        <w:t>扰动土地整治率达</w:t>
      </w:r>
      <w:r>
        <w:rPr>
          <w:rFonts w:hint="default" w:ascii="Times New Roman" w:hAnsi="Times New Roman" w:eastAsia="仿宋_GB2312" w:cs="Times New Roman"/>
          <w:kern w:val="2"/>
          <w:sz w:val="24"/>
          <w:szCs w:val="24"/>
          <w:lang w:val="en-US" w:eastAsia="zh-CN" w:bidi="ar"/>
        </w:rPr>
        <w:t>9</w:t>
      </w:r>
      <w:r>
        <w:rPr>
          <w:rFonts w:hint="eastAsia" w:cs="Times New Roman"/>
          <w:kern w:val="2"/>
          <w:sz w:val="24"/>
          <w:szCs w:val="24"/>
          <w:lang w:val="en-US" w:eastAsia="zh-CN" w:bidi="ar"/>
        </w:rPr>
        <w:t>7.24</w:t>
      </w:r>
      <w:r>
        <w:rPr>
          <w:rFonts w:hint="default" w:ascii="Times New Roman" w:hAnsi="Times New Roman" w:eastAsia="仿宋_GB2312" w:cs="Times New Roman"/>
          <w:kern w:val="2"/>
          <w:sz w:val="24"/>
          <w:szCs w:val="24"/>
          <w:lang w:val="en-US" w:eastAsia="zh-CN" w:bidi="ar"/>
        </w:rPr>
        <w:t>%</w:t>
      </w:r>
      <w:r>
        <w:rPr>
          <w:rFonts w:hint="eastAsia" w:ascii="Times New Roman" w:hAnsi="Times New Roman" w:eastAsia="仿宋_GB2312" w:cs="Times New Roman"/>
          <w:kern w:val="2"/>
          <w:sz w:val="24"/>
          <w:szCs w:val="24"/>
          <w:lang w:val="en-US" w:eastAsia="zh-CN" w:bidi="ar"/>
        </w:rPr>
        <w:t>，水土流失总治理度达</w:t>
      </w:r>
      <w:r>
        <w:rPr>
          <w:rFonts w:hint="default" w:ascii="Times New Roman" w:hAnsi="Times New Roman" w:eastAsia="仿宋_GB2312" w:cs="Times New Roman"/>
          <w:kern w:val="2"/>
          <w:sz w:val="24"/>
          <w:szCs w:val="24"/>
          <w:lang w:val="en-US" w:eastAsia="zh-CN" w:bidi="ar"/>
        </w:rPr>
        <w:t>9</w:t>
      </w:r>
      <w:r>
        <w:rPr>
          <w:rFonts w:hint="eastAsia" w:cs="Times New Roman"/>
          <w:kern w:val="2"/>
          <w:sz w:val="24"/>
          <w:szCs w:val="24"/>
          <w:lang w:val="en-US" w:eastAsia="zh-CN" w:bidi="ar"/>
        </w:rPr>
        <w:t>6.69</w:t>
      </w:r>
      <w:r>
        <w:rPr>
          <w:rFonts w:hint="default" w:ascii="Times New Roman" w:hAnsi="Times New Roman" w:eastAsia="仿宋_GB2312" w:cs="Times New Roman"/>
          <w:kern w:val="2"/>
          <w:sz w:val="24"/>
          <w:szCs w:val="24"/>
          <w:lang w:val="en-US" w:eastAsia="zh-CN" w:bidi="ar"/>
        </w:rPr>
        <w:t>%</w:t>
      </w:r>
      <w:r>
        <w:rPr>
          <w:rFonts w:hint="eastAsia" w:ascii="Times New Roman" w:hAnsi="Times New Roman" w:eastAsia="仿宋_GB2312" w:cs="Times New Roman"/>
          <w:kern w:val="2"/>
          <w:sz w:val="24"/>
          <w:szCs w:val="24"/>
          <w:lang w:val="en-US" w:eastAsia="zh-CN" w:bidi="ar"/>
        </w:rPr>
        <w:t>，土壤流失控制比达</w:t>
      </w:r>
      <w:r>
        <w:rPr>
          <w:rFonts w:hint="default" w:ascii="Times New Roman" w:hAnsi="Times New Roman" w:eastAsia="仿宋_GB2312" w:cs="Times New Roman"/>
          <w:kern w:val="2"/>
          <w:sz w:val="24"/>
          <w:szCs w:val="24"/>
          <w:lang w:val="en-US" w:eastAsia="zh-CN" w:bidi="ar"/>
        </w:rPr>
        <w:t>1.0</w:t>
      </w:r>
      <w:r>
        <w:rPr>
          <w:rFonts w:hint="eastAsia" w:ascii="Times New Roman" w:hAnsi="Times New Roman" w:eastAsia="仿宋_GB2312" w:cs="Times New Roman"/>
          <w:kern w:val="2"/>
          <w:sz w:val="24"/>
          <w:szCs w:val="24"/>
          <w:lang w:val="en-US" w:eastAsia="zh-CN" w:bidi="ar"/>
        </w:rPr>
        <w:t>，拦渣率达</w:t>
      </w:r>
      <w:r>
        <w:rPr>
          <w:rFonts w:hint="default" w:ascii="Times New Roman" w:hAnsi="Times New Roman" w:eastAsia="仿宋_GB2312" w:cs="Times New Roman"/>
          <w:kern w:val="2"/>
          <w:sz w:val="24"/>
          <w:szCs w:val="24"/>
          <w:lang w:val="en-US" w:eastAsia="zh-CN" w:bidi="ar"/>
        </w:rPr>
        <w:t>9</w:t>
      </w:r>
      <w:r>
        <w:rPr>
          <w:rFonts w:hint="eastAsia" w:cs="Times New Roman"/>
          <w:kern w:val="2"/>
          <w:sz w:val="24"/>
          <w:szCs w:val="24"/>
          <w:lang w:val="en-US" w:eastAsia="zh-CN" w:bidi="ar"/>
        </w:rPr>
        <w:t>6.5</w:t>
      </w:r>
      <w:r>
        <w:rPr>
          <w:rFonts w:hint="default" w:ascii="Times New Roman" w:hAnsi="Times New Roman" w:eastAsia="仿宋_GB2312" w:cs="Times New Roman"/>
          <w:kern w:val="2"/>
          <w:sz w:val="24"/>
          <w:szCs w:val="24"/>
          <w:lang w:val="en-US" w:eastAsia="zh-CN" w:bidi="ar"/>
        </w:rPr>
        <w:t>%</w:t>
      </w:r>
      <w:r>
        <w:rPr>
          <w:rFonts w:hint="eastAsia" w:ascii="Times New Roman" w:hAnsi="Times New Roman" w:eastAsia="仿宋_GB2312" w:cs="Times New Roman"/>
          <w:kern w:val="2"/>
          <w:sz w:val="24"/>
          <w:szCs w:val="24"/>
          <w:lang w:val="en-US" w:eastAsia="zh-CN" w:bidi="ar"/>
        </w:rPr>
        <w:t>，林草植被恢复率达</w:t>
      </w:r>
      <w:r>
        <w:rPr>
          <w:rFonts w:hint="default" w:ascii="Times New Roman" w:hAnsi="Times New Roman" w:eastAsia="仿宋_GB2312" w:cs="Times New Roman"/>
          <w:kern w:val="2"/>
          <w:sz w:val="24"/>
          <w:szCs w:val="24"/>
          <w:lang w:val="en-US" w:eastAsia="zh-CN" w:bidi="ar"/>
        </w:rPr>
        <w:t>9</w:t>
      </w:r>
      <w:r>
        <w:rPr>
          <w:rFonts w:hint="eastAsia" w:cs="Times New Roman"/>
          <w:kern w:val="2"/>
          <w:sz w:val="24"/>
          <w:szCs w:val="24"/>
          <w:lang w:val="en-US" w:eastAsia="zh-CN" w:bidi="ar"/>
        </w:rPr>
        <w:t>9.35</w:t>
      </w:r>
      <w:r>
        <w:rPr>
          <w:rFonts w:hint="default" w:ascii="Times New Roman" w:hAnsi="Times New Roman" w:eastAsia="仿宋_GB2312" w:cs="Times New Roman"/>
          <w:kern w:val="2"/>
          <w:sz w:val="24"/>
          <w:szCs w:val="24"/>
          <w:lang w:val="en-US" w:eastAsia="zh-CN" w:bidi="ar"/>
        </w:rPr>
        <w:t>%</w:t>
      </w:r>
      <w:r>
        <w:rPr>
          <w:rFonts w:hint="eastAsia" w:ascii="Times New Roman" w:hAnsi="Times New Roman" w:eastAsia="仿宋_GB2312" w:cs="Times New Roman"/>
          <w:kern w:val="2"/>
          <w:sz w:val="24"/>
          <w:szCs w:val="24"/>
          <w:lang w:val="en-US" w:eastAsia="zh-CN" w:bidi="ar"/>
        </w:rPr>
        <w:t>，林草覆盖率达</w:t>
      </w:r>
      <w:r>
        <w:rPr>
          <w:rFonts w:hint="eastAsia" w:cs="Times New Roman"/>
          <w:kern w:val="2"/>
          <w:sz w:val="24"/>
          <w:szCs w:val="24"/>
          <w:lang w:val="en-US" w:eastAsia="zh-CN" w:bidi="ar"/>
        </w:rPr>
        <w:t>39.23</w:t>
      </w:r>
      <w:r>
        <w:rPr>
          <w:rFonts w:hint="default" w:ascii="Times New Roman" w:hAnsi="Times New Roman" w:eastAsia="仿宋_GB2312" w:cs="Times New Roman"/>
          <w:kern w:val="2"/>
          <w:sz w:val="24"/>
          <w:szCs w:val="24"/>
          <w:lang w:val="en-US" w:eastAsia="zh-CN" w:bidi="ar"/>
        </w:rPr>
        <w:t>%</w:t>
      </w:r>
      <w:r>
        <w:rPr>
          <w:color w:val="000000" w:themeColor="text1"/>
        </w:rPr>
        <w:t>。各项</w:t>
      </w:r>
      <w:r>
        <w:t>指标基本达到方案目标值和现行水土流失防治标准，水土保持设施所产生的经济效益、生态效益和社会效益显著，满足国家对开发建设项目水土保持的要求。</w:t>
      </w:r>
    </w:p>
    <w:p>
      <w:pPr>
        <w:spacing w:before="120"/>
        <w:ind w:firstLine="480"/>
        <w:jc w:val="left"/>
      </w:pPr>
      <w:r>
        <w:t>我公司经现场核查后认为，对照水土保持标准规范、规程确定的验收标准和条件，本项目已具备水土保持设施验收标准和条件。按照《四川省水利厅转发水利部关于加强事中事后监管规范生产建设项目水土保持设施自主验收的通知》（水保〔2018〕887号）相关要求，20</w:t>
      </w:r>
      <w:r>
        <w:rPr>
          <w:rFonts w:hint="eastAsia"/>
        </w:rPr>
        <w:t>21</w:t>
      </w:r>
      <w:r>
        <w:t>年</w:t>
      </w:r>
      <w:r>
        <w:rPr>
          <w:rFonts w:hint="eastAsia"/>
        </w:rPr>
        <w:t>3</w:t>
      </w:r>
      <w:r>
        <w:t>月我公司编制完成了《</w:t>
      </w:r>
      <w:r>
        <w:rPr>
          <w:rFonts w:hint="eastAsia"/>
          <w:lang w:eastAsia="zh-CN"/>
        </w:rPr>
        <w:t>甘孜雅江柯拉35千伏输变电工程</w:t>
      </w:r>
      <w:r>
        <w:t>水土保持设施验收报告》。</w:t>
      </w:r>
    </w:p>
    <w:p>
      <w:pPr>
        <w:spacing w:before="120"/>
        <w:ind w:firstLine="480"/>
        <w:jc w:val="left"/>
        <w:sectPr>
          <w:headerReference r:id="rId17" w:type="first"/>
          <w:footerReference r:id="rId20" w:type="first"/>
          <w:headerReference r:id="rId15" w:type="default"/>
          <w:footerReference r:id="rId18" w:type="default"/>
          <w:headerReference r:id="rId16" w:type="even"/>
          <w:footerReference r:id="rId19" w:type="even"/>
          <w:pgSz w:w="11906" w:h="16838"/>
          <w:pgMar w:top="1440" w:right="1800" w:bottom="1440" w:left="1800" w:header="708" w:footer="708" w:gutter="0"/>
          <w:pgNumType w:fmt="upperRoman" w:start="1"/>
          <w:cols w:space="708" w:num="1"/>
          <w:docGrid w:linePitch="360" w:charSpace="0"/>
        </w:sectPr>
      </w:pPr>
      <w:r>
        <w:t>我公司在开展本工程水土保持设施验收工作过程中，得到了甘孜州水利局、</w:t>
      </w:r>
      <w:r>
        <w:rPr>
          <w:rFonts w:hint="eastAsia"/>
          <w:lang w:eastAsia="zh-CN"/>
        </w:rPr>
        <w:t>雅江</w:t>
      </w:r>
      <w:r>
        <w:rPr>
          <w:rFonts w:hint="eastAsia"/>
        </w:rPr>
        <w:t>县</w:t>
      </w:r>
      <w:r>
        <w:rPr>
          <w:rFonts w:hint="eastAsia"/>
          <w:lang w:val="en-US" w:eastAsia="zh-CN"/>
        </w:rPr>
        <w:t>水利</w:t>
      </w:r>
      <w:r>
        <w:t>局、国网四川省电力公司甘孜供电公司及本项目施工、监理等单位的大力支持和协助，在此谨表谢意！</w:t>
      </w:r>
    </w:p>
    <w:p>
      <w:pPr>
        <w:pStyle w:val="16"/>
        <w:outlineLvl w:val="0"/>
        <w:rPr>
          <w:color w:val="000000" w:themeColor="text1"/>
        </w:rPr>
      </w:pPr>
      <w:bookmarkStart w:id="7" w:name="_Toc21488"/>
      <w:bookmarkStart w:id="8" w:name="_Toc480383855"/>
      <w:bookmarkStart w:id="9" w:name="_Toc492898228"/>
      <w:bookmarkStart w:id="10" w:name="_Toc492971955"/>
      <w:bookmarkStart w:id="11" w:name="_Toc515294430"/>
      <w:r>
        <w:rPr>
          <w:color w:val="000000" w:themeColor="text1"/>
        </w:rPr>
        <w:t>水土保持设施</w:t>
      </w:r>
      <w:r>
        <w:rPr>
          <w:rFonts w:hint="eastAsia"/>
          <w:color w:val="000000" w:themeColor="text1"/>
          <w:lang w:eastAsia="zh-CN"/>
        </w:rPr>
        <w:t>完工</w:t>
      </w:r>
      <w:r>
        <w:rPr>
          <w:color w:val="000000" w:themeColor="text1"/>
        </w:rPr>
        <w:t>验收特性表</w:t>
      </w:r>
      <w:bookmarkEnd w:id="7"/>
      <w:bookmarkEnd w:id="8"/>
      <w:bookmarkEnd w:id="9"/>
      <w:bookmarkEnd w:id="10"/>
      <w:bookmarkEnd w:id="11"/>
    </w:p>
    <w:tbl>
      <w:tblPr>
        <w:tblStyle w:val="32"/>
        <w:tblW w:w="8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10"/>
        <w:gridCol w:w="513"/>
        <w:gridCol w:w="1564"/>
        <w:gridCol w:w="810"/>
        <w:gridCol w:w="15"/>
        <w:gridCol w:w="493"/>
        <w:gridCol w:w="662"/>
        <w:gridCol w:w="15"/>
        <w:gridCol w:w="748"/>
        <w:gridCol w:w="98"/>
        <w:gridCol w:w="467"/>
        <w:gridCol w:w="817"/>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3" w:type="dxa"/>
            <w:gridSpan w:val="2"/>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验收工程名称</w:t>
            </w:r>
          </w:p>
        </w:tc>
        <w:tc>
          <w:tcPr>
            <w:tcW w:w="2882" w:type="dxa"/>
            <w:gridSpan w:val="4"/>
            <w:tcMar>
              <w:left w:w="28" w:type="dxa"/>
              <w:right w:w="28" w:type="dxa"/>
            </w:tcMar>
            <w:vAlign w:val="center"/>
          </w:tcPr>
          <w:p>
            <w:pPr>
              <w:pStyle w:val="52"/>
              <w:keepNext w:val="0"/>
              <w:keepLines w:val="0"/>
              <w:widowControl/>
              <w:suppressLineNumbers w:val="0"/>
              <w:spacing w:before="0" w:beforeAutospacing="0" w:after="0" w:afterAutospacing="0"/>
              <w:ind w:left="0" w:right="0"/>
              <w:rPr>
                <w:rFonts w:hint="eastAsia" w:eastAsia="仿宋_GB2312" w:cs="Times New Roman"/>
                <w:color w:val="auto"/>
                <w:lang w:eastAsia="zh-CN"/>
              </w:rPr>
            </w:pPr>
            <w:r>
              <w:rPr>
                <w:rFonts w:hint="eastAsia" w:cs="Times New Roman"/>
                <w:color w:val="auto"/>
                <w:lang w:eastAsia="zh-CN"/>
              </w:rPr>
              <w:t>甘孜雅江柯拉35千伏输变电工程</w:t>
            </w:r>
          </w:p>
        </w:tc>
        <w:tc>
          <w:tcPr>
            <w:tcW w:w="1523" w:type="dxa"/>
            <w:gridSpan w:val="4"/>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验收地点</w:t>
            </w:r>
          </w:p>
        </w:tc>
        <w:tc>
          <w:tcPr>
            <w:tcW w:w="2678" w:type="dxa"/>
            <w:gridSpan w:val="3"/>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四川省甘孜州</w:t>
            </w:r>
            <w:r>
              <w:rPr>
                <w:rFonts w:hint="eastAsia" w:cs="Times New Roman"/>
                <w:color w:val="auto"/>
                <w:lang w:eastAsia="zh-CN"/>
              </w:rPr>
              <w:t>雅江</w:t>
            </w:r>
            <w:r>
              <w:rPr>
                <w:rFonts w:hint="eastAsia" w:cs="Times New Roman"/>
                <w:color w:val="auto"/>
              </w:rPr>
              <w:t>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3" w:type="dxa"/>
            <w:gridSpan w:val="2"/>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验收工程性质</w:t>
            </w:r>
          </w:p>
        </w:tc>
        <w:tc>
          <w:tcPr>
            <w:tcW w:w="2882" w:type="dxa"/>
            <w:gridSpan w:val="4"/>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新建建设类</w:t>
            </w:r>
          </w:p>
        </w:tc>
        <w:tc>
          <w:tcPr>
            <w:tcW w:w="1523" w:type="dxa"/>
            <w:gridSpan w:val="4"/>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验收工程规模</w:t>
            </w:r>
          </w:p>
        </w:tc>
        <w:tc>
          <w:tcPr>
            <w:tcW w:w="2678" w:type="dxa"/>
            <w:gridSpan w:val="3"/>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新建</w:t>
            </w:r>
            <w:r>
              <w:rPr>
                <w:rFonts w:hint="eastAsia" w:cs="Times New Roman"/>
                <w:color w:val="auto"/>
                <w:lang w:eastAsia="zh-CN"/>
              </w:rPr>
              <w:t>柯拉35kV变电站</w:t>
            </w:r>
            <w:r>
              <w:rPr>
                <w:rFonts w:cs="Times New Roman"/>
                <w:color w:val="auto"/>
              </w:rPr>
              <w:t>和输电线路</w:t>
            </w:r>
            <w:r>
              <w:rPr>
                <w:rFonts w:hint="eastAsia" w:cs="Times New Roman"/>
                <w:color w:val="auto"/>
                <w:lang w:val="en-US" w:eastAsia="zh-CN"/>
              </w:rPr>
              <w:t>18.93</w:t>
            </w:r>
            <w:r>
              <w:rPr>
                <w:rFonts w:cs="Times New Roman"/>
                <w:color w:val="auto"/>
              </w:rPr>
              <w:t>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3" w:type="dxa"/>
            <w:gridSpan w:val="2"/>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所在流域</w:t>
            </w:r>
          </w:p>
        </w:tc>
        <w:tc>
          <w:tcPr>
            <w:tcW w:w="2882" w:type="dxa"/>
            <w:gridSpan w:val="4"/>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长江流域</w:t>
            </w:r>
          </w:p>
        </w:tc>
        <w:tc>
          <w:tcPr>
            <w:tcW w:w="1523" w:type="dxa"/>
            <w:gridSpan w:val="4"/>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水土流失防治区划分</w:t>
            </w:r>
          </w:p>
        </w:tc>
        <w:tc>
          <w:tcPr>
            <w:tcW w:w="2678" w:type="dxa"/>
            <w:gridSpan w:val="3"/>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hint="eastAsia" w:cs="Times New Roman"/>
                <w:color w:val="auto"/>
              </w:rPr>
              <w:t>金沙江岷江上游及三江并流国家级水土流失重点预防区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887" w:type="dxa"/>
            <w:gridSpan w:val="3"/>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水土保持方案批复部门、时间及文号</w:t>
            </w:r>
          </w:p>
        </w:tc>
        <w:tc>
          <w:tcPr>
            <w:tcW w:w="5519" w:type="dxa"/>
            <w:gridSpan w:val="10"/>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甘孜州水利局，2019年</w:t>
            </w:r>
            <w:r>
              <w:rPr>
                <w:rFonts w:hint="eastAsia" w:cs="Times New Roman"/>
                <w:color w:val="auto"/>
                <w:lang w:val="en-US" w:eastAsia="zh-CN"/>
              </w:rPr>
              <w:t>3</w:t>
            </w:r>
            <w:r>
              <w:rPr>
                <w:rFonts w:cs="Times New Roman"/>
                <w:color w:val="auto"/>
              </w:rPr>
              <w:t>月，甘水审[2019]</w:t>
            </w:r>
            <w:r>
              <w:rPr>
                <w:rFonts w:hint="eastAsia" w:cs="Times New Roman"/>
                <w:color w:val="auto"/>
                <w:lang w:val="en-US" w:eastAsia="zh-CN"/>
              </w:rPr>
              <w:t>34</w:t>
            </w:r>
            <w:r>
              <w:rPr>
                <w:rFonts w:cs="Times New Roman"/>
                <w:color w:val="auto"/>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887" w:type="dxa"/>
            <w:gridSpan w:val="3"/>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建设工期</w:t>
            </w:r>
          </w:p>
        </w:tc>
        <w:tc>
          <w:tcPr>
            <w:tcW w:w="5519" w:type="dxa"/>
            <w:gridSpan w:val="10"/>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2019年</w:t>
            </w:r>
            <w:r>
              <w:rPr>
                <w:rFonts w:hint="eastAsia" w:cs="Times New Roman"/>
                <w:color w:val="auto"/>
                <w:lang w:val="en-US" w:eastAsia="zh-CN"/>
              </w:rPr>
              <w:t>4</w:t>
            </w:r>
            <w:r>
              <w:rPr>
                <w:rFonts w:cs="Times New Roman"/>
                <w:color w:val="auto"/>
              </w:rPr>
              <w:t>月</w:t>
            </w:r>
            <w:r>
              <w:rPr>
                <w:rFonts w:hint="eastAsia" w:cs="Times New Roman"/>
                <w:color w:val="auto"/>
                <w:lang w:val="en-US" w:eastAsia="zh-CN"/>
              </w:rPr>
              <w:t>25</w:t>
            </w:r>
            <w:r>
              <w:rPr>
                <w:rFonts w:cs="Times New Roman"/>
                <w:color w:val="auto"/>
              </w:rPr>
              <w:t>日正式开工，20</w:t>
            </w:r>
            <w:r>
              <w:rPr>
                <w:rFonts w:hint="eastAsia" w:cs="Times New Roman"/>
                <w:color w:val="auto"/>
                <w:lang w:val="en-US" w:eastAsia="zh-CN"/>
              </w:rPr>
              <w:t>19</w:t>
            </w:r>
            <w:r>
              <w:rPr>
                <w:rFonts w:cs="Times New Roman"/>
                <w:color w:val="auto"/>
              </w:rPr>
              <w:t>年</w:t>
            </w:r>
            <w:r>
              <w:rPr>
                <w:rFonts w:hint="eastAsia" w:cs="Times New Roman"/>
                <w:color w:val="auto"/>
                <w:lang w:val="en-US" w:eastAsia="zh-CN"/>
              </w:rPr>
              <w:t>11</w:t>
            </w:r>
            <w:r>
              <w:rPr>
                <w:rFonts w:cs="Times New Roman"/>
                <w:color w:val="auto"/>
              </w:rPr>
              <w:t>月</w:t>
            </w:r>
            <w:r>
              <w:rPr>
                <w:rFonts w:hint="eastAsia" w:cs="Times New Roman"/>
                <w:color w:val="auto"/>
              </w:rPr>
              <w:t>1</w:t>
            </w:r>
            <w:r>
              <w:rPr>
                <w:rFonts w:cs="Times New Roman"/>
                <w:color w:val="auto"/>
              </w:rPr>
              <w:t>日</w:t>
            </w:r>
            <w:r>
              <w:rPr>
                <w:rFonts w:hint="eastAsia" w:cs="Times New Roman"/>
                <w:color w:val="auto"/>
                <w:lang w:eastAsia="zh-CN"/>
              </w:rPr>
              <w:t>完工</w:t>
            </w:r>
            <w:r>
              <w:rPr>
                <w:rFonts w:cs="Times New Roman"/>
                <w:color w:val="auto"/>
              </w:rPr>
              <w:t>，总工期</w:t>
            </w:r>
            <w:r>
              <w:rPr>
                <w:rFonts w:hint="eastAsia" w:cs="Times New Roman"/>
                <w:color w:val="auto"/>
                <w:lang w:val="en-US" w:eastAsia="zh-CN"/>
              </w:rPr>
              <w:t>6</w:t>
            </w:r>
            <w:r>
              <w:rPr>
                <w:rFonts w:cs="Times New Roman"/>
                <w:color w:val="auto"/>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887" w:type="dxa"/>
            <w:gridSpan w:val="3"/>
            <w:vMerge w:val="restart"/>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防治责任范围</w:t>
            </w:r>
          </w:p>
        </w:tc>
        <w:tc>
          <w:tcPr>
            <w:tcW w:w="3308" w:type="dxa"/>
            <w:gridSpan w:val="8"/>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水土保持方案确定的防治责任范围</w:t>
            </w:r>
          </w:p>
        </w:tc>
        <w:tc>
          <w:tcPr>
            <w:tcW w:w="2211" w:type="dxa"/>
            <w:gridSpan w:val="2"/>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hint="eastAsia" w:cs="Times New Roman"/>
                <w:color w:val="auto"/>
                <w:lang w:eastAsia="zh-CN"/>
              </w:rPr>
              <w:t>1.85</w:t>
            </w:r>
            <w:r>
              <w:rPr>
                <w:rFonts w:cs="Times New Roman"/>
                <w:color w:val="auto"/>
              </w:rPr>
              <w:t>hm</w:t>
            </w:r>
            <w:r>
              <w:rPr>
                <w:rFonts w:cs="Times New Roman"/>
                <w:color w:val="aut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887" w:type="dxa"/>
            <w:gridSpan w:val="3"/>
            <w:vMerge w:val="continue"/>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p>
        </w:tc>
        <w:tc>
          <w:tcPr>
            <w:tcW w:w="3308" w:type="dxa"/>
            <w:gridSpan w:val="8"/>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验收防治责任范围</w:t>
            </w:r>
          </w:p>
        </w:tc>
        <w:tc>
          <w:tcPr>
            <w:tcW w:w="2211" w:type="dxa"/>
            <w:gridSpan w:val="2"/>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hint="eastAsia" w:cs="Times New Roman"/>
                <w:color w:val="auto"/>
                <w:lang w:eastAsia="zh-CN"/>
              </w:rPr>
              <w:t>1.81</w:t>
            </w:r>
            <w:r>
              <w:rPr>
                <w:rFonts w:cs="Times New Roman"/>
                <w:color w:val="auto"/>
              </w:rPr>
              <w:t>hm</w:t>
            </w:r>
            <w:r>
              <w:rPr>
                <w:rFonts w:cs="Times New Roman"/>
                <w:color w:val="aut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887" w:type="dxa"/>
            <w:gridSpan w:val="3"/>
            <w:vMerge w:val="continue"/>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p>
        </w:tc>
        <w:tc>
          <w:tcPr>
            <w:tcW w:w="3308" w:type="dxa"/>
            <w:gridSpan w:val="8"/>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验收后防治责任范围</w:t>
            </w:r>
          </w:p>
        </w:tc>
        <w:tc>
          <w:tcPr>
            <w:tcW w:w="2211" w:type="dxa"/>
            <w:gridSpan w:val="2"/>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hint="eastAsia" w:cs="Times New Roman"/>
                <w:color w:val="auto"/>
                <w:lang w:eastAsia="zh-CN"/>
              </w:rPr>
              <w:t>0.39</w:t>
            </w:r>
            <w:r>
              <w:rPr>
                <w:rFonts w:cs="Times New Roman"/>
                <w:color w:val="auto"/>
              </w:rPr>
              <w:t>hm</w:t>
            </w:r>
            <w:r>
              <w:rPr>
                <w:rFonts w:cs="Times New Roman"/>
                <w:color w:val="aut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10" w:type="dxa"/>
            <w:vMerge w:val="restart"/>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方案批复水土流失防治目标</w:t>
            </w:r>
          </w:p>
        </w:tc>
        <w:tc>
          <w:tcPr>
            <w:tcW w:w="2077" w:type="dxa"/>
            <w:gridSpan w:val="2"/>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cs="Times New Roman"/>
                <w:color w:val="auto"/>
              </w:rPr>
            </w:pPr>
            <w:r>
              <w:rPr>
                <w:rFonts w:hint="eastAsia" w:ascii="Times New Roman" w:hAnsi="Times New Roman" w:eastAsia="仿宋_GB2312" w:cs="仿宋_GB2312"/>
                <w:snapToGrid/>
                <w:color w:val="auto"/>
                <w:kern w:val="2"/>
                <w:sz w:val="21"/>
                <w:szCs w:val="18"/>
                <w:lang w:val="en-US" w:eastAsia="zh-CN" w:bidi="ar"/>
              </w:rPr>
              <w:t>扰动土地整治率</w:t>
            </w:r>
            <w:r>
              <w:rPr>
                <w:rFonts w:hint="default" w:ascii="Times New Roman" w:hAnsi="Times New Roman" w:eastAsia="仿宋_GB2312" w:cs="Times New Roman"/>
                <w:snapToGrid/>
                <w:color w:val="auto"/>
                <w:kern w:val="2"/>
                <w:sz w:val="21"/>
                <w:szCs w:val="18"/>
                <w:lang w:val="en-US" w:eastAsia="zh-CN" w:bidi="ar"/>
              </w:rPr>
              <w:t>(%)</w:t>
            </w:r>
          </w:p>
        </w:tc>
        <w:tc>
          <w:tcPr>
            <w:tcW w:w="810" w:type="dxa"/>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eastAsia="宋体"/>
              </w:rPr>
            </w:pPr>
            <w:r>
              <w:rPr>
                <w:rFonts w:hint="default" w:ascii="Times New Roman" w:hAnsi="Times New Roman" w:eastAsia="仿宋_GB2312" w:cs="Times New Roman"/>
                <w:snapToGrid/>
                <w:color w:val="auto"/>
                <w:kern w:val="2"/>
                <w:sz w:val="20"/>
                <w:szCs w:val="18"/>
                <w:lang w:val="en-US" w:eastAsia="zh-CN" w:bidi="ar"/>
              </w:rPr>
              <w:t>95</w:t>
            </w:r>
          </w:p>
        </w:tc>
        <w:tc>
          <w:tcPr>
            <w:tcW w:w="1170" w:type="dxa"/>
            <w:gridSpan w:val="3"/>
            <w:vMerge w:val="restart"/>
            <w:tcMar>
              <w:left w:w="28" w:type="dxa"/>
              <w:right w:w="28" w:type="dxa"/>
            </w:tcMar>
            <w:vAlign w:val="center"/>
          </w:tcPr>
          <w:p>
            <w:pPr>
              <w:pStyle w:val="52"/>
              <w:keepNext w:val="0"/>
              <w:keepLines w:val="0"/>
              <w:widowControl/>
              <w:suppressLineNumbers w:val="0"/>
              <w:spacing w:before="0" w:beforeAutospacing="0" w:after="0" w:afterAutospacing="0"/>
              <w:ind w:left="0" w:right="0"/>
              <w:rPr>
                <w:color w:val="auto"/>
              </w:rPr>
            </w:pPr>
            <w:r>
              <w:rPr>
                <w:color w:val="auto"/>
              </w:rPr>
              <w:t>实际完成</w:t>
            </w:r>
          </w:p>
          <w:p>
            <w:pPr>
              <w:pStyle w:val="52"/>
              <w:keepNext w:val="0"/>
              <w:keepLines w:val="0"/>
              <w:widowControl/>
              <w:suppressLineNumbers w:val="0"/>
              <w:spacing w:before="0" w:beforeAutospacing="0" w:after="0" w:afterAutospacing="0"/>
              <w:ind w:left="0" w:right="0"/>
              <w:rPr>
                <w:color w:val="auto"/>
              </w:rPr>
            </w:pPr>
            <w:r>
              <w:rPr>
                <w:color w:val="auto"/>
              </w:rPr>
              <w:t>水土流失</w:t>
            </w:r>
          </w:p>
          <w:p>
            <w:pPr>
              <w:pStyle w:val="52"/>
              <w:keepNext w:val="0"/>
              <w:keepLines w:val="0"/>
              <w:widowControl/>
              <w:suppressLineNumbers w:val="0"/>
              <w:spacing w:before="0" w:beforeAutospacing="0" w:after="0" w:afterAutospacing="0"/>
              <w:ind w:left="0" w:right="0"/>
              <w:rPr>
                <w:color w:val="auto"/>
              </w:rPr>
            </w:pPr>
            <w:r>
              <w:rPr>
                <w:color w:val="auto"/>
              </w:rPr>
              <w:t>防治目标</w:t>
            </w:r>
          </w:p>
        </w:tc>
        <w:tc>
          <w:tcPr>
            <w:tcW w:w="2145" w:type="dxa"/>
            <w:gridSpan w:val="5"/>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color w:val="auto"/>
              </w:rPr>
            </w:pPr>
            <w:r>
              <w:rPr>
                <w:rFonts w:hint="eastAsia" w:ascii="Times New Roman" w:hAnsi="Times New Roman" w:eastAsia="仿宋_GB2312" w:cs="仿宋_GB2312"/>
                <w:snapToGrid/>
                <w:color w:val="auto"/>
                <w:kern w:val="2"/>
                <w:sz w:val="21"/>
                <w:szCs w:val="18"/>
                <w:lang w:val="en-US" w:eastAsia="zh-CN" w:bidi="ar"/>
              </w:rPr>
              <w:t>扰动土地整治率</w:t>
            </w:r>
            <w:r>
              <w:rPr>
                <w:rFonts w:hint="default" w:ascii="Times New Roman" w:hAnsi="Times New Roman" w:eastAsia="仿宋_GB2312" w:cs="Times New Roman"/>
                <w:snapToGrid/>
                <w:color w:val="auto"/>
                <w:kern w:val="2"/>
                <w:sz w:val="21"/>
                <w:szCs w:val="18"/>
                <w:lang w:val="en-US" w:eastAsia="zh-CN" w:bidi="ar"/>
              </w:rPr>
              <w:t>(%)</w:t>
            </w:r>
          </w:p>
        </w:tc>
        <w:tc>
          <w:tcPr>
            <w:tcW w:w="1394" w:type="dxa"/>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eastAsia="宋体"/>
              </w:rPr>
            </w:pPr>
            <w:r>
              <w:rPr>
                <w:rFonts w:hint="default" w:ascii="Times New Roman" w:hAnsi="Times New Roman" w:eastAsia="仿宋_GB2312" w:cs="Times New Roman"/>
                <w:snapToGrid/>
                <w:color w:val="auto"/>
                <w:kern w:val="2"/>
                <w:sz w:val="21"/>
                <w:szCs w:val="18"/>
                <w:lang w:val="en-US" w:eastAsia="zh-CN" w:bidi="ar"/>
              </w:rPr>
              <w:t>97.24%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10" w:type="dxa"/>
            <w:vMerge w:val="continue"/>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p>
        </w:tc>
        <w:tc>
          <w:tcPr>
            <w:tcW w:w="2077" w:type="dxa"/>
            <w:gridSpan w:val="2"/>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cs="Times New Roman"/>
                <w:color w:val="auto"/>
              </w:rPr>
            </w:pPr>
            <w:r>
              <w:rPr>
                <w:rFonts w:hint="eastAsia" w:ascii="Times New Roman" w:hAnsi="Times New Roman" w:eastAsia="仿宋_GB2312" w:cs="仿宋_GB2312"/>
                <w:snapToGrid/>
                <w:color w:val="auto"/>
                <w:kern w:val="2"/>
                <w:sz w:val="21"/>
                <w:szCs w:val="18"/>
                <w:lang w:val="en-US" w:eastAsia="zh-CN" w:bidi="ar"/>
              </w:rPr>
              <w:t>水土流失总治理度</w:t>
            </w:r>
            <w:r>
              <w:rPr>
                <w:rFonts w:hint="default" w:ascii="Times New Roman" w:hAnsi="Times New Roman" w:eastAsia="仿宋_GB2312" w:cs="Times New Roman"/>
                <w:snapToGrid/>
                <w:color w:val="auto"/>
                <w:kern w:val="2"/>
                <w:sz w:val="21"/>
                <w:szCs w:val="18"/>
                <w:lang w:val="en-US" w:eastAsia="zh-CN" w:bidi="ar"/>
              </w:rPr>
              <w:t>(%)</w:t>
            </w:r>
          </w:p>
        </w:tc>
        <w:tc>
          <w:tcPr>
            <w:tcW w:w="810" w:type="dxa"/>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eastAsia="宋体"/>
              </w:rPr>
            </w:pPr>
            <w:r>
              <w:rPr>
                <w:rFonts w:hint="default" w:ascii="Times New Roman" w:hAnsi="Times New Roman" w:eastAsia="仿宋_GB2312" w:cs="Times New Roman"/>
                <w:snapToGrid/>
                <w:color w:val="auto"/>
                <w:kern w:val="2"/>
                <w:sz w:val="20"/>
                <w:szCs w:val="18"/>
                <w:lang w:val="en-US" w:eastAsia="zh-CN" w:bidi="ar"/>
              </w:rPr>
              <w:t>96</w:t>
            </w:r>
          </w:p>
        </w:tc>
        <w:tc>
          <w:tcPr>
            <w:tcW w:w="1170" w:type="dxa"/>
            <w:gridSpan w:val="3"/>
            <w:vMerge w:val="continue"/>
            <w:tcMar>
              <w:left w:w="28" w:type="dxa"/>
              <w:right w:w="28" w:type="dxa"/>
            </w:tcMar>
            <w:vAlign w:val="center"/>
          </w:tcPr>
          <w:p>
            <w:pPr>
              <w:pStyle w:val="52"/>
              <w:keepNext w:val="0"/>
              <w:keepLines w:val="0"/>
              <w:widowControl/>
              <w:suppressLineNumbers w:val="0"/>
              <w:spacing w:before="0" w:beforeAutospacing="0" w:after="0" w:afterAutospacing="0"/>
              <w:ind w:left="0" w:right="0"/>
              <w:rPr>
                <w:color w:val="auto"/>
              </w:rPr>
            </w:pPr>
          </w:p>
        </w:tc>
        <w:tc>
          <w:tcPr>
            <w:tcW w:w="2145" w:type="dxa"/>
            <w:gridSpan w:val="5"/>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color w:val="auto"/>
              </w:rPr>
            </w:pPr>
            <w:r>
              <w:rPr>
                <w:rFonts w:hint="eastAsia" w:ascii="Times New Roman" w:hAnsi="Times New Roman" w:eastAsia="仿宋_GB2312" w:cs="仿宋_GB2312"/>
                <w:snapToGrid/>
                <w:color w:val="auto"/>
                <w:kern w:val="2"/>
                <w:sz w:val="21"/>
                <w:szCs w:val="18"/>
                <w:lang w:val="en-US" w:eastAsia="zh-CN" w:bidi="ar"/>
              </w:rPr>
              <w:t>水土流失总治理度</w:t>
            </w:r>
            <w:r>
              <w:rPr>
                <w:rFonts w:hint="default" w:ascii="Times New Roman" w:hAnsi="Times New Roman" w:eastAsia="仿宋_GB2312" w:cs="Times New Roman"/>
                <w:snapToGrid/>
                <w:color w:val="auto"/>
                <w:kern w:val="2"/>
                <w:sz w:val="21"/>
                <w:szCs w:val="18"/>
                <w:lang w:val="en-US" w:eastAsia="zh-CN" w:bidi="ar"/>
              </w:rPr>
              <w:t>(%)</w:t>
            </w:r>
          </w:p>
        </w:tc>
        <w:tc>
          <w:tcPr>
            <w:tcW w:w="1394" w:type="dxa"/>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eastAsia="宋体"/>
              </w:rPr>
            </w:pPr>
            <w:r>
              <w:rPr>
                <w:rFonts w:hint="default" w:ascii="Times New Roman" w:hAnsi="Times New Roman" w:eastAsia="仿宋_GB2312" w:cs="Times New Roman"/>
                <w:snapToGrid/>
                <w:color w:val="auto"/>
                <w:kern w:val="2"/>
                <w:sz w:val="21"/>
                <w:szCs w:val="18"/>
                <w:lang w:val="en-US" w:eastAsia="zh-CN" w:bidi="ar"/>
              </w:rPr>
              <w:t>96.69%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10" w:type="dxa"/>
            <w:vMerge w:val="continue"/>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p>
        </w:tc>
        <w:tc>
          <w:tcPr>
            <w:tcW w:w="2077" w:type="dxa"/>
            <w:gridSpan w:val="2"/>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cs="Times New Roman"/>
                <w:color w:val="auto"/>
              </w:rPr>
            </w:pPr>
            <w:r>
              <w:rPr>
                <w:rFonts w:hint="eastAsia" w:ascii="Times New Roman" w:hAnsi="Times New Roman" w:eastAsia="仿宋_GB2312" w:cs="仿宋_GB2312"/>
                <w:snapToGrid/>
                <w:color w:val="auto"/>
                <w:kern w:val="2"/>
                <w:sz w:val="21"/>
                <w:szCs w:val="18"/>
                <w:lang w:val="en-US" w:eastAsia="zh-CN" w:bidi="ar"/>
              </w:rPr>
              <w:t>土壤流失控制比</w:t>
            </w:r>
          </w:p>
        </w:tc>
        <w:tc>
          <w:tcPr>
            <w:tcW w:w="810" w:type="dxa"/>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eastAsia="宋体"/>
              </w:rPr>
            </w:pPr>
            <w:r>
              <w:rPr>
                <w:rFonts w:hint="default" w:ascii="Times New Roman" w:hAnsi="Times New Roman" w:eastAsia="仿宋_GB2312" w:cs="Times New Roman"/>
                <w:snapToGrid/>
                <w:color w:val="auto"/>
                <w:kern w:val="2"/>
                <w:sz w:val="20"/>
                <w:szCs w:val="18"/>
                <w:lang w:val="en-US" w:eastAsia="zh-CN" w:bidi="ar"/>
              </w:rPr>
              <w:t>1</w:t>
            </w:r>
          </w:p>
        </w:tc>
        <w:tc>
          <w:tcPr>
            <w:tcW w:w="1170" w:type="dxa"/>
            <w:gridSpan w:val="3"/>
            <w:vMerge w:val="continue"/>
            <w:tcMar>
              <w:left w:w="28" w:type="dxa"/>
              <w:right w:w="28" w:type="dxa"/>
            </w:tcMar>
            <w:vAlign w:val="center"/>
          </w:tcPr>
          <w:p>
            <w:pPr>
              <w:pStyle w:val="52"/>
              <w:keepNext w:val="0"/>
              <w:keepLines w:val="0"/>
              <w:widowControl/>
              <w:suppressLineNumbers w:val="0"/>
              <w:spacing w:before="0" w:beforeAutospacing="0" w:after="0" w:afterAutospacing="0"/>
              <w:ind w:left="0" w:right="0"/>
              <w:rPr>
                <w:color w:val="auto"/>
              </w:rPr>
            </w:pPr>
          </w:p>
        </w:tc>
        <w:tc>
          <w:tcPr>
            <w:tcW w:w="2145" w:type="dxa"/>
            <w:gridSpan w:val="5"/>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color w:val="auto"/>
              </w:rPr>
            </w:pPr>
            <w:r>
              <w:rPr>
                <w:rFonts w:hint="eastAsia" w:ascii="Times New Roman" w:hAnsi="Times New Roman" w:eastAsia="仿宋_GB2312" w:cs="仿宋_GB2312"/>
                <w:snapToGrid/>
                <w:color w:val="auto"/>
                <w:kern w:val="2"/>
                <w:sz w:val="21"/>
                <w:szCs w:val="18"/>
                <w:lang w:val="en-US" w:eastAsia="zh-CN" w:bidi="ar"/>
              </w:rPr>
              <w:t>土壤流失控制比</w:t>
            </w:r>
          </w:p>
        </w:tc>
        <w:tc>
          <w:tcPr>
            <w:tcW w:w="1394" w:type="dxa"/>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eastAsia="宋体"/>
              </w:rPr>
            </w:pPr>
            <w:r>
              <w:rPr>
                <w:rFonts w:hint="default" w:ascii="Times New Roman" w:hAnsi="Times New Roman" w:eastAsia="仿宋_GB2312" w:cs="Times New Roman"/>
                <w:snapToGrid/>
                <w:color w:val="auto"/>
                <w:kern w:val="2"/>
                <w:sz w:val="21"/>
                <w:szCs w:val="18"/>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10" w:type="dxa"/>
            <w:vMerge w:val="continue"/>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p>
        </w:tc>
        <w:tc>
          <w:tcPr>
            <w:tcW w:w="2077" w:type="dxa"/>
            <w:gridSpan w:val="2"/>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cs="Times New Roman"/>
                <w:color w:val="auto"/>
              </w:rPr>
            </w:pPr>
            <w:r>
              <w:rPr>
                <w:rFonts w:hint="eastAsia" w:ascii="Times New Roman" w:hAnsi="Times New Roman" w:eastAsia="仿宋_GB2312" w:cs="仿宋_GB2312"/>
                <w:snapToGrid/>
                <w:color w:val="auto"/>
                <w:kern w:val="2"/>
                <w:sz w:val="21"/>
                <w:szCs w:val="18"/>
                <w:lang w:val="en-US" w:eastAsia="zh-CN" w:bidi="ar"/>
              </w:rPr>
              <w:t>拦渣率</w:t>
            </w:r>
            <w:r>
              <w:rPr>
                <w:rFonts w:hint="default" w:ascii="Times New Roman" w:hAnsi="Times New Roman" w:eastAsia="仿宋_GB2312" w:cs="Times New Roman"/>
                <w:snapToGrid/>
                <w:color w:val="auto"/>
                <w:kern w:val="2"/>
                <w:sz w:val="21"/>
                <w:szCs w:val="18"/>
                <w:lang w:val="en-US" w:eastAsia="zh-CN" w:bidi="ar"/>
              </w:rPr>
              <w:t>(%)</w:t>
            </w:r>
          </w:p>
        </w:tc>
        <w:tc>
          <w:tcPr>
            <w:tcW w:w="810" w:type="dxa"/>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eastAsia="宋体"/>
              </w:rPr>
            </w:pPr>
            <w:r>
              <w:rPr>
                <w:rFonts w:hint="default" w:ascii="Times New Roman" w:hAnsi="Times New Roman" w:eastAsia="仿宋_GB2312" w:cs="Times New Roman"/>
                <w:snapToGrid/>
                <w:color w:val="auto"/>
                <w:kern w:val="2"/>
                <w:sz w:val="20"/>
                <w:szCs w:val="18"/>
                <w:lang w:val="en-US" w:eastAsia="zh-CN" w:bidi="ar"/>
              </w:rPr>
              <w:t>95</w:t>
            </w:r>
          </w:p>
        </w:tc>
        <w:tc>
          <w:tcPr>
            <w:tcW w:w="1170" w:type="dxa"/>
            <w:gridSpan w:val="3"/>
            <w:vMerge w:val="continue"/>
            <w:tcMar>
              <w:left w:w="28" w:type="dxa"/>
              <w:right w:w="28" w:type="dxa"/>
            </w:tcMar>
            <w:vAlign w:val="center"/>
          </w:tcPr>
          <w:p>
            <w:pPr>
              <w:pStyle w:val="52"/>
              <w:keepNext w:val="0"/>
              <w:keepLines w:val="0"/>
              <w:widowControl/>
              <w:suppressLineNumbers w:val="0"/>
              <w:spacing w:before="0" w:beforeAutospacing="0" w:after="0" w:afterAutospacing="0"/>
              <w:ind w:left="0" w:right="0"/>
              <w:rPr>
                <w:color w:val="auto"/>
              </w:rPr>
            </w:pPr>
          </w:p>
        </w:tc>
        <w:tc>
          <w:tcPr>
            <w:tcW w:w="2145" w:type="dxa"/>
            <w:gridSpan w:val="5"/>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color w:val="auto"/>
              </w:rPr>
            </w:pPr>
            <w:r>
              <w:rPr>
                <w:rFonts w:hint="eastAsia" w:ascii="Times New Roman" w:hAnsi="Times New Roman" w:eastAsia="仿宋_GB2312" w:cs="仿宋_GB2312"/>
                <w:snapToGrid/>
                <w:color w:val="auto"/>
                <w:kern w:val="2"/>
                <w:sz w:val="21"/>
                <w:szCs w:val="18"/>
                <w:lang w:val="en-US" w:eastAsia="zh-CN" w:bidi="ar"/>
              </w:rPr>
              <w:t>拦渣率</w:t>
            </w:r>
            <w:r>
              <w:rPr>
                <w:rFonts w:hint="default" w:ascii="Times New Roman" w:hAnsi="Times New Roman" w:eastAsia="仿宋_GB2312" w:cs="Times New Roman"/>
                <w:snapToGrid/>
                <w:color w:val="auto"/>
                <w:kern w:val="2"/>
                <w:sz w:val="21"/>
                <w:szCs w:val="18"/>
                <w:lang w:val="en-US" w:eastAsia="zh-CN" w:bidi="ar"/>
              </w:rPr>
              <w:t>(%)</w:t>
            </w:r>
          </w:p>
        </w:tc>
        <w:tc>
          <w:tcPr>
            <w:tcW w:w="1394" w:type="dxa"/>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eastAsia="宋体"/>
              </w:rPr>
            </w:pPr>
            <w:r>
              <w:rPr>
                <w:rFonts w:hint="default" w:ascii="Times New Roman" w:hAnsi="Times New Roman" w:eastAsia="仿宋_GB2312" w:cs="Times New Roman"/>
                <w:snapToGrid/>
                <w:color w:val="auto"/>
                <w:kern w:val="2"/>
                <w:sz w:val="21"/>
                <w:szCs w:val="18"/>
                <w:lang w:val="en-US" w:eastAsia="zh-CN" w:bidi="ar"/>
              </w:rPr>
              <w:t>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10" w:type="dxa"/>
            <w:vMerge w:val="continue"/>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p>
        </w:tc>
        <w:tc>
          <w:tcPr>
            <w:tcW w:w="2077" w:type="dxa"/>
            <w:gridSpan w:val="2"/>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cs="Times New Roman"/>
                <w:color w:val="auto"/>
              </w:rPr>
            </w:pPr>
            <w:r>
              <w:rPr>
                <w:rFonts w:hint="eastAsia" w:ascii="Times New Roman" w:hAnsi="Times New Roman" w:eastAsia="仿宋_GB2312" w:cs="仿宋_GB2312"/>
                <w:snapToGrid/>
                <w:color w:val="auto"/>
                <w:kern w:val="2"/>
                <w:sz w:val="21"/>
                <w:szCs w:val="18"/>
                <w:lang w:val="en-US" w:eastAsia="zh-CN" w:bidi="ar"/>
              </w:rPr>
              <w:t>林草植被恢复率</w:t>
            </w:r>
            <w:r>
              <w:rPr>
                <w:rFonts w:hint="default" w:ascii="Times New Roman" w:hAnsi="Times New Roman" w:eastAsia="仿宋_GB2312" w:cs="Times New Roman"/>
                <w:snapToGrid/>
                <w:color w:val="auto"/>
                <w:kern w:val="2"/>
                <w:sz w:val="21"/>
                <w:szCs w:val="18"/>
                <w:lang w:val="en-US" w:eastAsia="zh-CN" w:bidi="ar"/>
              </w:rPr>
              <w:t>(%)</w:t>
            </w:r>
          </w:p>
        </w:tc>
        <w:tc>
          <w:tcPr>
            <w:tcW w:w="810" w:type="dxa"/>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eastAsia="宋体"/>
              </w:rPr>
            </w:pPr>
            <w:r>
              <w:rPr>
                <w:rFonts w:hint="default" w:ascii="Times New Roman" w:hAnsi="Times New Roman" w:eastAsia="仿宋_GB2312" w:cs="Times New Roman"/>
                <w:snapToGrid/>
                <w:color w:val="auto"/>
                <w:kern w:val="2"/>
                <w:sz w:val="20"/>
                <w:szCs w:val="18"/>
                <w:lang w:val="en-US" w:eastAsia="zh-CN" w:bidi="ar"/>
              </w:rPr>
              <w:t>98</w:t>
            </w:r>
          </w:p>
        </w:tc>
        <w:tc>
          <w:tcPr>
            <w:tcW w:w="1170" w:type="dxa"/>
            <w:gridSpan w:val="3"/>
            <w:vMerge w:val="continue"/>
            <w:tcMar>
              <w:left w:w="28" w:type="dxa"/>
              <w:right w:w="28" w:type="dxa"/>
            </w:tcMar>
            <w:vAlign w:val="center"/>
          </w:tcPr>
          <w:p>
            <w:pPr>
              <w:pStyle w:val="52"/>
              <w:keepNext w:val="0"/>
              <w:keepLines w:val="0"/>
              <w:widowControl/>
              <w:suppressLineNumbers w:val="0"/>
              <w:spacing w:before="0" w:beforeAutospacing="0" w:after="0" w:afterAutospacing="0"/>
              <w:ind w:left="0" w:right="0"/>
              <w:rPr>
                <w:color w:val="auto"/>
              </w:rPr>
            </w:pPr>
          </w:p>
        </w:tc>
        <w:tc>
          <w:tcPr>
            <w:tcW w:w="2145" w:type="dxa"/>
            <w:gridSpan w:val="5"/>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color w:val="auto"/>
              </w:rPr>
            </w:pPr>
            <w:r>
              <w:rPr>
                <w:rFonts w:hint="eastAsia" w:ascii="Times New Roman" w:hAnsi="Times New Roman" w:eastAsia="仿宋_GB2312" w:cs="仿宋_GB2312"/>
                <w:snapToGrid/>
                <w:color w:val="auto"/>
                <w:kern w:val="2"/>
                <w:sz w:val="21"/>
                <w:szCs w:val="18"/>
                <w:lang w:val="en-US" w:eastAsia="zh-CN" w:bidi="ar"/>
              </w:rPr>
              <w:t>林草植被恢复率</w:t>
            </w:r>
            <w:r>
              <w:rPr>
                <w:rFonts w:hint="default" w:ascii="Times New Roman" w:hAnsi="Times New Roman" w:eastAsia="仿宋_GB2312" w:cs="Times New Roman"/>
                <w:snapToGrid/>
                <w:color w:val="auto"/>
                <w:kern w:val="2"/>
                <w:sz w:val="21"/>
                <w:szCs w:val="18"/>
                <w:lang w:val="en-US" w:eastAsia="zh-CN" w:bidi="ar"/>
              </w:rPr>
              <w:t>(%)</w:t>
            </w:r>
          </w:p>
        </w:tc>
        <w:tc>
          <w:tcPr>
            <w:tcW w:w="1394" w:type="dxa"/>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eastAsia="宋体"/>
              </w:rPr>
            </w:pPr>
            <w:r>
              <w:rPr>
                <w:rFonts w:hint="default" w:ascii="Times New Roman" w:hAnsi="Times New Roman" w:eastAsia="仿宋_GB2312" w:cs="Times New Roman"/>
                <w:snapToGrid/>
                <w:color w:val="auto"/>
                <w:kern w:val="2"/>
                <w:sz w:val="21"/>
                <w:szCs w:val="18"/>
                <w:lang w:val="en-US" w:eastAsia="zh-CN" w:bidi="ar"/>
              </w:rPr>
              <w:t>99.35%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10" w:type="dxa"/>
            <w:vMerge w:val="continue"/>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p>
        </w:tc>
        <w:tc>
          <w:tcPr>
            <w:tcW w:w="2077" w:type="dxa"/>
            <w:gridSpan w:val="2"/>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cs="Times New Roman"/>
                <w:color w:val="auto"/>
              </w:rPr>
            </w:pPr>
            <w:r>
              <w:rPr>
                <w:rFonts w:hint="eastAsia" w:ascii="Times New Roman" w:hAnsi="Times New Roman" w:eastAsia="仿宋_GB2312" w:cs="仿宋_GB2312"/>
                <w:snapToGrid/>
                <w:color w:val="auto"/>
                <w:kern w:val="2"/>
                <w:sz w:val="21"/>
                <w:szCs w:val="18"/>
                <w:lang w:val="en-US" w:eastAsia="zh-CN" w:bidi="ar"/>
              </w:rPr>
              <w:t>林草覆盖率</w:t>
            </w:r>
            <w:r>
              <w:rPr>
                <w:rFonts w:hint="default" w:ascii="Times New Roman" w:hAnsi="Times New Roman" w:eastAsia="仿宋_GB2312" w:cs="Times New Roman"/>
                <w:snapToGrid/>
                <w:color w:val="auto"/>
                <w:kern w:val="2"/>
                <w:sz w:val="21"/>
                <w:szCs w:val="18"/>
                <w:lang w:val="en-US" w:eastAsia="zh-CN" w:bidi="ar"/>
              </w:rPr>
              <w:t>(%)</w:t>
            </w:r>
          </w:p>
        </w:tc>
        <w:tc>
          <w:tcPr>
            <w:tcW w:w="810" w:type="dxa"/>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eastAsia="宋体"/>
              </w:rPr>
            </w:pPr>
            <w:r>
              <w:rPr>
                <w:rFonts w:hint="default" w:ascii="Times New Roman" w:hAnsi="Times New Roman" w:eastAsia="仿宋_GB2312" w:cs="Times New Roman"/>
                <w:snapToGrid/>
                <w:color w:val="auto"/>
                <w:kern w:val="2"/>
                <w:sz w:val="20"/>
                <w:szCs w:val="18"/>
                <w:lang w:val="en-US" w:eastAsia="zh-CN" w:bidi="ar"/>
              </w:rPr>
              <w:t>26</w:t>
            </w:r>
          </w:p>
        </w:tc>
        <w:tc>
          <w:tcPr>
            <w:tcW w:w="1170" w:type="dxa"/>
            <w:gridSpan w:val="3"/>
            <w:vMerge w:val="continue"/>
            <w:tcMar>
              <w:left w:w="28" w:type="dxa"/>
              <w:right w:w="28" w:type="dxa"/>
            </w:tcMar>
            <w:vAlign w:val="center"/>
          </w:tcPr>
          <w:p>
            <w:pPr>
              <w:pStyle w:val="52"/>
              <w:keepNext w:val="0"/>
              <w:keepLines w:val="0"/>
              <w:widowControl/>
              <w:suppressLineNumbers w:val="0"/>
              <w:spacing w:before="0" w:beforeAutospacing="0" w:after="0" w:afterAutospacing="0"/>
              <w:ind w:left="0" w:right="0"/>
              <w:rPr>
                <w:color w:val="auto"/>
              </w:rPr>
            </w:pPr>
          </w:p>
        </w:tc>
        <w:tc>
          <w:tcPr>
            <w:tcW w:w="2145" w:type="dxa"/>
            <w:gridSpan w:val="5"/>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color w:val="auto"/>
              </w:rPr>
            </w:pPr>
            <w:r>
              <w:rPr>
                <w:rFonts w:hint="eastAsia" w:ascii="Times New Roman" w:hAnsi="Times New Roman" w:eastAsia="仿宋_GB2312" w:cs="仿宋_GB2312"/>
                <w:snapToGrid/>
                <w:color w:val="auto"/>
                <w:kern w:val="2"/>
                <w:sz w:val="21"/>
                <w:szCs w:val="18"/>
                <w:lang w:val="en-US" w:eastAsia="zh-CN" w:bidi="ar"/>
              </w:rPr>
              <w:t>林草覆盖率</w:t>
            </w:r>
            <w:r>
              <w:rPr>
                <w:rFonts w:hint="default" w:ascii="Times New Roman" w:hAnsi="Times New Roman" w:eastAsia="仿宋_GB2312" w:cs="Times New Roman"/>
                <w:snapToGrid/>
                <w:color w:val="auto"/>
                <w:kern w:val="2"/>
                <w:sz w:val="21"/>
                <w:szCs w:val="18"/>
                <w:lang w:val="en-US" w:eastAsia="zh-CN" w:bidi="ar"/>
              </w:rPr>
              <w:t>(%)</w:t>
            </w:r>
          </w:p>
        </w:tc>
        <w:tc>
          <w:tcPr>
            <w:tcW w:w="1394" w:type="dxa"/>
            <w:tcMar>
              <w:left w:w="28" w:type="dxa"/>
              <w:right w:w="28" w:type="dxa"/>
            </w:tcMar>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eastAsia="宋体"/>
              </w:rPr>
            </w:pPr>
            <w:r>
              <w:rPr>
                <w:rFonts w:hint="default" w:ascii="Times New Roman" w:hAnsi="Times New Roman" w:eastAsia="仿宋_GB2312" w:cs="Times New Roman"/>
                <w:snapToGrid/>
                <w:color w:val="auto"/>
                <w:kern w:val="2"/>
                <w:sz w:val="21"/>
                <w:szCs w:val="18"/>
                <w:lang w:val="en-US" w:eastAsia="zh-CN" w:bidi="ar"/>
              </w:rPr>
              <w:t>39.23%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3" w:type="dxa"/>
            <w:gridSpan w:val="2"/>
            <w:vMerge w:val="restart"/>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主要</w:t>
            </w:r>
          </w:p>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工程量</w:t>
            </w:r>
          </w:p>
        </w:tc>
        <w:tc>
          <w:tcPr>
            <w:tcW w:w="1564" w:type="dxa"/>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工程措施</w:t>
            </w:r>
          </w:p>
        </w:tc>
        <w:tc>
          <w:tcPr>
            <w:tcW w:w="5519" w:type="dxa"/>
            <w:gridSpan w:val="10"/>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hint="eastAsia" w:cs="Times New Roman"/>
                <w:color w:val="auto"/>
              </w:rPr>
              <w:t>截、排水沟</w:t>
            </w:r>
            <w:r>
              <w:rPr>
                <w:rFonts w:hint="eastAsia" w:cs="Times New Roman"/>
                <w:color w:val="auto"/>
                <w:lang w:val="en-US" w:eastAsia="zh-CN"/>
              </w:rPr>
              <w:t>291</w:t>
            </w:r>
            <w:r>
              <w:rPr>
                <w:rFonts w:hint="eastAsia" w:cs="Times New Roman"/>
                <w:color w:val="auto"/>
              </w:rPr>
              <w:t>m、排水管</w:t>
            </w:r>
            <w:r>
              <w:rPr>
                <w:rFonts w:hint="eastAsia" w:cs="Times New Roman"/>
                <w:color w:val="auto"/>
                <w:lang w:val="en-US" w:eastAsia="zh-CN"/>
              </w:rPr>
              <w:t>105</w:t>
            </w:r>
            <w:r>
              <w:rPr>
                <w:rFonts w:cs="Times New Roman"/>
                <w:color w:val="auto"/>
              </w:rPr>
              <w:t>m、剥离表土</w:t>
            </w:r>
            <w:r>
              <w:rPr>
                <w:rFonts w:hint="eastAsia" w:cs="Times New Roman"/>
                <w:color w:val="auto"/>
              </w:rPr>
              <w:t>0.</w:t>
            </w:r>
            <w:r>
              <w:rPr>
                <w:rFonts w:hint="eastAsia" w:cs="Times New Roman"/>
                <w:color w:val="auto"/>
                <w:lang w:val="en-US" w:eastAsia="zh-CN"/>
              </w:rPr>
              <w:t>05</w:t>
            </w:r>
            <w:r>
              <w:rPr>
                <w:rFonts w:hint="eastAsia" w:cs="Times New Roman"/>
                <w:color w:val="auto"/>
              </w:rPr>
              <w:t>万</w:t>
            </w:r>
            <w:r>
              <w:rPr>
                <w:rFonts w:cs="Times New Roman"/>
                <w:color w:val="auto"/>
              </w:rPr>
              <w:t>m</w:t>
            </w:r>
            <w:r>
              <w:rPr>
                <w:rFonts w:cs="Times New Roman"/>
                <w:color w:val="auto"/>
                <w:vertAlign w:val="superscript"/>
              </w:rPr>
              <w:t>3</w:t>
            </w:r>
            <w:r>
              <w:rPr>
                <w:rFonts w:cs="Times New Roman"/>
                <w:color w:val="auto"/>
              </w:rPr>
              <w:t>、表土回覆</w:t>
            </w:r>
            <w:r>
              <w:rPr>
                <w:rFonts w:hint="eastAsia" w:cs="Times New Roman"/>
                <w:color w:val="auto"/>
              </w:rPr>
              <w:t>0.</w:t>
            </w:r>
            <w:r>
              <w:rPr>
                <w:rFonts w:hint="eastAsia" w:cs="Times New Roman"/>
                <w:color w:val="auto"/>
                <w:lang w:val="en-US" w:eastAsia="zh-CN"/>
              </w:rPr>
              <w:t>05</w:t>
            </w:r>
            <w:r>
              <w:rPr>
                <w:rFonts w:hint="eastAsia" w:cs="Times New Roman"/>
                <w:color w:val="auto"/>
              </w:rPr>
              <w:t>万</w:t>
            </w:r>
            <w:r>
              <w:rPr>
                <w:rFonts w:cs="Times New Roman"/>
                <w:color w:val="auto"/>
              </w:rPr>
              <w:t>m</w:t>
            </w:r>
            <w:r>
              <w:rPr>
                <w:rFonts w:cs="Times New Roman"/>
                <w:color w:val="auto"/>
                <w:vertAlign w:val="superscript"/>
              </w:rPr>
              <w:t>3</w:t>
            </w:r>
            <w:r>
              <w:rPr>
                <w:rFonts w:hint="eastAsia" w:cs="Times New Roman"/>
                <w:color w:val="auto"/>
              </w:rPr>
              <w:t>、</w:t>
            </w:r>
            <w:r>
              <w:rPr>
                <w:rFonts w:hint="eastAsia" w:cs="Times New Roman"/>
                <w:color w:val="auto"/>
                <w:lang w:val="en-US" w:eastAsia="zh-CN"/>
              </w:rPr>
              <w:t>铺设碎石248m</w:t>
            </w:r>
            <w:r>
              <w:rPr>
                <w:rFonts w:hint="eastAsia" w:cs="Times New Roman"/>
                <w:color w:val="auto"/>
                <w:vertAlign w:val="superscript"/>
                <w:lang w:val="en-US" w:eastAsia="zh-CN"/>
              </w:rPr>
              <w:t>2</w:t>
            </w:r>
            <w:r>
              <w:rPr>
                <w:rFonts w:hint="eastAsia" w:cs="Times New Roman"/>
                <w:color w:val="auto"/>
                <w:lang w:val="en-US" w:eastAsia="zh-CN"/>
              </w:rPr>
              <w:t>、</w:t>
            </w:r>
            <w:r>
              <w:rPr>
                <w:rFonts w:cs="Times New Roman"/>
                <w:color w:val="auto"/>
              </w:rPr>
              <w:t>土地整治</w:t>
            </w:r>
            <w:r>
              <w:rPr>
                <w:rFonts w:hint="eastAsia" w:cs="Times New Roman"/>
                <w:color w:val="auto"/>
                <w:lang w:val="en-US" w:eastAsia="zh-CN"/>
              </w:rPr>
              <w:t>1.65</w:t>
            </w:r>
            <w:r>
              <w:rPr>
                <w:rFonts w:cs="Times New Roman"/>
                <w:color w:val="auto"/>
              </w:rPr>
              <w:t>hm</w:t>
            </w:r>
            <w:r>
              <w:rPr>
                <w:rFonts w:cs="Times New Roman"/>
                <w:color w:val="aut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3" w:type="dxa"/>
            <w:gridSpan w:val="2"/>
            <w:vMerge w:val="continue"/>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p>
        </w:tc>
        <w:tc>
          <w:tcPr>
            <w:tcW w:w="1564" w:type="dxa"/>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植物措施</w:t>
            </w:r>
          </w:p>
        </w:tc>
        <w:tc>
          <w:tcPr>
            <w:tcW w:w="5519" w:type="dxa"/>
            <w:gridSpan w:val="10"/>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撒草</w:t>
            </w:r>
            <w:r>
              <w:rPr>
                <w:rFonts w:hint="eastAsia" w:cs="Times New Roman"/>
                <w:color w:val="auto"/>
                <w:lang w:val="en-US" w:eastAsia="zh-CN"/>
              </w:rPr>
              <w:t>1</w:t>
            </w:r>
            <w:r>
              <w:rPr>
                <w:rFonts w:hint="eastAsia" w:cs="Times New Roman"/>
                <w:color w:val="auto"/>
              </w:rPr>
              <w:t>.</w:t>
            </w:r>
            <w:r>
              <w:rPr>
                <w:rFonts w:hint="eastAsia" w:cs="Times New Roman"/>
                <w:color w:val="auto"/>
                <w:lang w:val="en-US" w:eastAsia="zh-CN"/>
              </w:rPr>
              <w:t>52</w:t>
            </w:r>
            <w:r>
              <w:rPr>
                <w:rFonts w:cs="Times New Roman"/>
                <w:color w:val="auto"/>
              </w:rPr>
              <w:t>hm</w:t>
            </w:r>
            <w:r>
              <w:rPr>
                <w:rFonts w:cs="Times New Roman"/>
                <w:color w:val="auto"/>
                <w:vertAlign w:val="superscript"/>
              </w:rPr>
              <w:t>2</w:t>
            </w:r>
            <w:r>
              <w:rPr>
                <w:rFonts w:cs="Times New Roman"/>
                <w:color w:val="auto"/>
              </w:rPr>
              <w:t>、草籽</w:t>
            </w:r>
            <w:r>
              <w:rPr>
                <w:rFonts w:hint="eastAsia" w:cs="Times New Roman"/>
                <w:color w:val="auto"/>
              </w:rPr>
              <w:t>1</w:t>
            </w:r>
            <w:r>
              <w:rPr>
                <w:rFonts w:hint="eastAsia" w:cs="Times New Roman"/>
                <w:color w:val="auto"/>
                <w:lang w:val="en-US" w:eastAsia="zh-CN"/>
              </w:rPr>
              <w:t>65</w:t>
            </w:r>
            <w:r>
              <w:rPr>
                <w:rFonts w:cs="Times New Roman"/>
                <w:color w:val="auto"/>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3" w:type="dxa"/>
            <w:gridSpan w:val="2"/>
            <w:vMerge w:val="continue"/>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p>
        </w:tc>
        <w:tc>
          <w:tcPr>
            <w:tcW w:w="1564" w:type="dxa"/>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临时措施</w:t>
            </w:r>
          </w:p>
        </w:tc>
        <w:tc>
          <w:tcPr>
            <w:tcW w:w="5519" w:type="dxa"/>
            <w:gridSpan w:val="10"/>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hint="eastAsia" w:cs="Times New Roman"/>
                <w:color w:val="auto"/>
              </w:rPr>
              <w:t>临时</w:t>
            </w:r>
            <w:r>
              <w:rPr>
                <w:rFonts w:cs="Times New Roman"/>
                <w:color w:val="auto"/>
              </w:rPr>
              <w:t>排水沟</w:t>
            </w:r>
            <w:r>
              <w:rPr>
                <w:rFonts w:hint="eastAsia" w:cs="Times New Roman"/>
                <w:color w:val="auto"/>
              </w:rPr>
              <w:t>1</w:t>
            </w:r>
            <w:r>
              <w:rPr>
                <w:rFonts w:hint="eastAsia" w:cs="Times New Roman"/>
                <w:color w:val="auto"/>
                <w:lang w:val="en-US" w:eastAsia="zh-CN"/>
              </w:rPr>
              <w:t>35</w:t>
            </w:r>
            <w:r>
              <w:rPr>
                <w:rFonts w:cs="Times New Roman"/>
                <w:color w:val="auto"/>
              </w:rPr>
              <w:t>m、土袋挡护</w:t>
            </w:r>
            <w:r>
              <w:rPr>
                <w:rFonts w:hint="eastAsia" w:cs="Times New Roman"/>
                <w:color w:val="auto"/>
                <w:lang w:val="en-US" w:eastAsia="zh-CN"/>
              </w:rPr>
              <w:t>655</w:t>
            </w:r>
            <w:r>
              <w:rPr>
                <w:rFonts w:cs="Times New Roman"/>
                <w:color w:val="auto"/>
              </w:rPr>
              <w:t>m</w:t>
            </w:r>
            <w:r>
              <w:rPr>
                <w:rFonts w:hint="eastAsia" w:cs="Times New Roman"/>
                <w:color w:val="auto"/>
                <w:vertAlign w:val="superscript"/>
              </w:rPr>
              <w:t>3</w:t>
            </w:r>
            <w:r>
              <w:rPr>
                <w:rFonts w:cs="Times New Roman"/>
                <w:color w:val="auto"/>
              </w:rPr>
              <w:t>、</w:t>
            </w:r>
            <w:r>
              <w:rPr>
                <w:rFonts w:hint="eastAsia" w:cs="Times New Roman"/>
                <w:color w:val="auto"/>
              </w:rPr>
              <w:t>防雨布</w:t>
            </w:r>
            <w:r>
              <w:rPr>
                <w:rFonts w:hint="eastAsia" w:cs="Times New Roman"/>
                <w:color w:val="auto"/>
                <w:lang w:val="en-US" w:eastAsia="zh-CN"/>
              </w:rPr>
              <w:t>7125</w:t>
            </w:r>
            <w:r>
              <w:rPr>
                <w:rFonts w:hint="eastAsia" w:cs="Times New Roman"/>
                <w:color w:val="auto"/>
              </w:rPr>
              <w:t>m</w:t>
            </w:r>
            <w:r>
              <w:rPr>
                <w:rFonts w:hint="eastAsia" w:cs="Times New Roman"/>
                <w:color w:val="aut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3" w:type="dxa"/>
            <w:gridSpan w:val="2"/>
            <w:vMerge w:val="restart"/>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工程</w:t>
            </w:r>
          </w:p>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质量评定</w:t>
            </w:r>
          </w:p>
        </w:tc>
        <w:tc>
          <w:tcPr>
            <w:tcW w:w="1564" w:type="dxa"/>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评定项目</w:t>
            </w:r>
          </w:p>
        </w:tc>
        <w:tc>
          <w:tcPr>
            <w:tcW w:w="2743" w:type="dxa"/>
            <w:gridSpan w:val="6"/>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总体质量评定</w:t>
            </w:r>
          </w:p>
        </w:tc>
        <w:tc>
          <w:tcPr>
            <w:tcW w:w="2776" w:type="dxa"/>
            <w:gridSpan w:val="4"/>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外观质量评定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3" w:type="dxa"/>
            <w:gridSpan w:val="2"/>
            <w:vMerge w:val="continue"/>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p>
        </w:tc>
        <w:tc>
          <w:tcPr>
            <w:tcW w:w="1564" w:type="dxa"/>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工程措施</w:t>
            </w:r>
          </w:p>
        </w:tc>
        <w:tc>
          <w:tcPr>
            <w:tcW w:w="2743" w:type="dxa"/>
            <w:gridSpan w:val="6"/>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合格</w:t>
            </w:r>
          </w:p>
        </w:tc>
        <w:tc>
          <w:tcPr>
            <w:tcW w:w="2776" w:type="dxa"/>
            <w:gridSpan w:val="4"/>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3" w:type="dxa"/>
            <w:gridSpan w:val="2"/>
            <w:vMerge w:val="continue"/>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p>
        </w:tc>
        <w:tc>
          <w:tcPr>
            <w:tcW w:w="1564" w:type="dxa"/>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植物措施</w:t>
            </w:r>
          </w:p>
        </w:tc>
        <w:tc>
          <w:tcPr>
            <w:tcW w:w="2743" w:type="dxa"/>
            <w:gridSpan w:val="6"/>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合格</w:t>
            </w:r>
          </w:p>
        </w:tc>
        <w:tc>
          <w:tcPr>
            <w:tcW w:w="2776" w:type="dxa"/>
            <w:gridSpan w:val="4"/>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3" w:type="dxa"/>
            <w:gridSpan w:val="2"/>
            <w:vMerge w:val="restart"/>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水土保持</w:t>
            </w:r>
          </w:p>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投资</w:t>
            </w:r>
          </w:p>
        </w:tc>
        <w:tc>
          <w:tcPr>
            <w:tcW w:w="1564" w:type="dxa"/>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水土保持方案投资</w:t>
            </w:r>
          </w:p>
        </w:tc>
        <w:tc>
          <w:tcPr>
            <w:tcW w:w="5519" w:type="dxa"/>
            <w:gridSpan w:val="10"/>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总投资</w:t>
            </w:r>
            <w:r>
              <w:rPr>
                <w:rFonts w:hint="eastAsia" w:cs="Times New Roman"/>
                <w:color w:val="auto"/>
                <w:lang w:val="en-US" w:eastAsia="zh-CN"/>
              </w:rPr>
              <w:t>67.46</w:t>
            </w:r>
            <w:r>
              <w:rPr>
                <w:rFonts w:cs="Times New Roman"/>
                <w:color w:val="auto"/>
              </w:rPr>
              <w:t>万元（主体已有</w:t>
            </w:r>
            <w:r>
              <w:rPr>
                <w:rFonts w:hint="eastAsia" w:cs="Times New Roman"/>
                <w:color w:val="auto"/>
                <w:lang w:val="en-US" w:eastAsia="zh-CN"/>
              </w:rPr>
              <w:t>9.75</w:t>
            </w:r>
            <w:r>
              <w:rPr>
                <w:rFonts w:cs="Times New Roman"/>
                <w:color w:val="auto"/>
              </w:rPr>
              <w:t>万元，方案新增</w:t>
            </w:r>
            <w:r>
              <w:rPr>
                <w:rFonts w:hint="eastAsia" w:cs="Times New Roman"/>
                <w:color w:val="auto"/>
                <w:lang w:val="en-US" w:eastAsia="zh-CN"/>
              </w:rPr>
              <w:t>57.74</w:t>
            </w:r>
            <w:r>
              <w:rPr>
                <w:rFonts w:cs="Times New Roman"/>
                <w:color w:val="auto"/>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3" w:type="dxa"/>
            <w:gridSpan w:val="2"/>
            <w:vMerge w:val="continue"/>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p>
        </w:tc>
        <w:tc>
          <w:tcPr>
            <w:tcW w:w="1564" w:type="dxa"/>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实际投资</w:t>
            </w:r>
          </w:p>
        </w:tc>
        <w:tc>
          <w:tcPr>
            <w:tcW w:w="5519" w:type="dxa"/>
            <w:gridSpan w:val="10"/>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投资</w:t>
            </w:r>
            <w:r>
              <w:rPr>
                <w:rFonts w:hint="eastAsia" w:cs="Times New Roman"/>
                <w:color w:val="auto"/>
                <w:lang w:val="en-US" w:eastAsia="zh-CN"/>
              </w:rPr>
              <w:t>67.15</w:t>
            </w:r>
            <w:r>
              <w:rPr>
                <w:rFonts w:cs="Times New Roman"/>
                <w:color w:val="auto"/>
              </w:rPr>
              <w:t>万元（主体已有</w:t>
            </w:r>
            <w:r>
              <w:rPr>
                <w:rFonts w:hint="eastAsia" w:cs="Times New Roman"/>
                <w:color w:val="auto"/>
                <w:lang w:val="en-US" w:eastAsia="zh-CN"/>
              </w:rPr>
              <w:t>11.43</w:t>
            </w:r>
            <w:r>
              <w:rPr>
                <w:rFonts w:cs="Times New Roman"/>
                <w:color w:val="auto"/>
              </w:rPr>
              <w:t>万元，方案新增</w:t>
            </w:r>
            <w:r>
              <w:rPr>
                <w:rFonts w:hint="eastAsia" w:cs="Times New Roman"/>
                <w:color w:val="auto"/>
                <w:lang w:val="en-US" w:eastAsia="zh-CN"/>
              </w:rPr>
              <w:t>55.72</w:t>
            </w:r>
            <w:r>
              <w:rPr>
                <w:rFonts w:cs="Times New Roman"/>
                <w:color w:val="auto"/>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3" w:type="dxa"/>
            <w:gridSpan w:val="2"/>
            <w:vMerge w:val="continue"/>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p>
        </w:tc>
        <w:tc>
          <w:tcPr>
            <w:tcW w:w="1564" w:type="dxa"/>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投资变化原因</w:t>
            </w:r>
          </w:p>
        </w:tc>
        <w:tc>
          <w:tcPr>
            <w:tcW w:w="5519" w:type="dxa"/>
            <w:gridSpan w:val="10"/>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hint="eastAsia" w:cs="Times New Roman"/>
                <w:color w:val="auto"/>
              </w:rPr>
              <w:t>监测费用、监理费用、基本预备费实际并未发生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3" w:type="dxa"/>
            <w:gridSpan w:val="2"/>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工程</w:t>
            </w:r>
          </w:p>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总体评价</w:t>
            </w:r>
          </w:p>
        </w:tc>
        <w:tc>
          <w:tcPr>
            <w:tcW w:w="7083" w:type="dxa"/>
            <w:gridSpan w:val="11"/>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水土保持工程建设符合国家水土保持法律法规的要求，各项工程安全可靠、质量合格，总体工程质量达到了验收标准，</w:t>
            </w:r>
            <w:r>
              <w:rPr>
                <w:rFonts w:hint="eastAsia" w:cs="Times New Roman"/>
                <w:color w:val="auto"/>
                <w:lang w:val="en-US" w:eastAsia="zh-CN"/>
              </w:rPr>
              <w:t>足额缴纳了水土保持补偿费、后续管护责任落实，可以组织水土保持设施的完工验收</w:t>
            </w:r>
            <w:r>
              <w:rPr>
                <w:rFonts w:cs="Times New Roman"/>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3" w:type="dxa"/>
            <w:gridSpan w:val="2"/>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水土保持方案编制单位</w:t>
            </w:r>
          </w:p>
        </w:tc>
        <w:tc>
          <w:tcPr>
            <w:tcW w:w="2389" w:type="dxa"/>
            <w:gridSpan w:val="3"/>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四川联合建设工程设计有限公司</w:t>
            </w:r>
          </w:p>
        </w:tc>
        <w:tc>
          <w:tcPr>
            <w:tcW w:w="1170" w:type="dxa"/>
            <w:gridSpan w:val="3"/>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主要施工</w:t>
            </w:r>
          </w:p>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单位</w:t>
            </w:r>
          </w:p>
        </w:tc>
        <w:tc>
          <w:tcPr>
            <w:tcW w:w="3524" w:type="dxa"/>
            <w:gridSpan w:val="5"/>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hint="eastAsia" w:cs="Times New Roman"/>
                <w:color w:val="auto"/>
              </w:rPr>
              <w:t>甘孜电力建设有限公司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3" w:type="dxa"/>
            <w:gridSpan w:val="2"/>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水土保持监测单位</w:t>
            </w:r>
          </w:p>
        </w:tc>
        <w:tc>
          <w:tcPr>
            <w:tcW w:w="2389" w:type="dxa"/>
            <w:gridSpan w:val="3"/>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bCs/>
                <w:color w:val="auto"/>
              </w:rPr>
            </w:pPr>
            <w:r>
              <w:rPr>
                <w:rFonts w:cs="Times New Roman"/>
                <w:bCs/>
                <w:color w:val="auto"/>
              </w:rPr>
              <w:t>/</w:t>
            </w:r>
          </w:p>
        </w:tc>
        <w:tc>
          <w:tcPr>
            <w:tcW w:w="1170" w:type="dxa"/>
            <w:gridSpan w:val="3"/>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监理单位</w:t>
            </w:r>
          </w:p>
        </w:tc>
        <w:tc>
          <w:tcPr>
            <w:tcW w:w="3524" w:type="dxa"/>
            <w:gridSpan w:val="5"/>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hint="eastAsia" w:cs="Times New Roman"/>
                <w:color w:val="auto"/>
                <w:szCs w:val="21"/>
              </w:rPr>
              <w:t>四川电力工程建设监理有限责任公司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3" w:type="dxa"/>
            <w:gridSpan w:val="2"/>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验收报告编制单位</w:t>
            </w:r>
          </w:p>
        </w:tc>
        <w:tc>
          <w:tcPr>
            <w:tcW w:w="2389" w:type="dxa"/>
            <w:gridSpan w:val="3"/>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bCs/>
                <w:color w:val="auto"/>
              </w:rPr>
            </w:pPr>
            <w:r>
              <w:rPr>
                <w:rFonts w:cs="Times New Roman"/>
                <w:color w:val="auto"/>
              </w:rPr>
              <w:t>浙江中水工程技术有限公司</w:t>
            </w:r>
          </w:p>
        </w:tc>
        <w:tc>
          <w:tcPr>
            <w:tcW w:w="1170" w:type="dxa"/>
            <w:gridSpan w:val="3"/>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建设单位</w:t>
            </w:r>
          </w:p>
        </w:tc>
        <w:tc>
          <w:tcPr>
            <w:tcW w:w="3524" w:type="dxa"/>
            <w:gridSpan w:val="5"/>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bCs/>
                <w:color w:val="auto"/>
              </w:rPr>
              <w:t>国网四川省电力公司甘孜供电公司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3" w:type="dxa"/>
            <w:gridSpan w:val="2"/>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地址</w:t>
            </w:r>
          </w:p>
        </w:tc>
        <w:tc>
          <w:tcPr>
            <w:tcW w:w="2389" w:type="dxa"/>
            <w:gridSpan w:val="3"/>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hint="eastAsia" w:cs="Times New Roman"/>
                <w:color w:val="auto"/>
              </w:rPr>
              <w:t>杭州市江干区中盛府13幢1701室</w:t>
            </w:r>
          </w:p>
        </w:tc>
        <w:tc>
          <w:tcPr>
            <w:tcW w:w="1170" w:type="dxa"/>
            <w:gridSpan w:val="3"/>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地址</w:t>
            </w:r>
          </w:p>
        </w:tc>
        <w:tc>
          <w:tcPr>
            <w:tcW w:w="3524" w:type="dxa"/>
            <w:gridSpan w:val="5"/>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000000" w:themeColor="text1"/>
              </w:rPr>
            </w:pPr>
            <w:r>
              <w:rPr>
                <w:color w:val="000000" w:themeColor="text1"/>
              </w:rPr>
              <w:t>四川省甘孜藏族自治州康定市炉城镇炉城南路57号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3" w:type="dxa"/>
            <w:gridSpan w:val="2"/>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联系人/电话</w:t>
            </w:r>
          </w:p>
        </w:tc>
        <w:tc>
          <w:tcPr>
            <w:tcW w:w="2389" w:type="dxa"/>
            <w:gridSpan w:val="3"/>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hint="eastAsia" w:cs="Times New Roman"/>
                <w:color w:val="auto"/>
              </w:rPr>
              <w:t>何星仪/</w:t>
            </w:r>
            <w:r>
              <w:rPr>
                <w:color w:val="auto"/>
              </w:rPr>
              <w:t xml:space="preserve"> 15281032582</w:t>
            </w:r>
          </w:p>
        </w:tc>
        <w:tc>
          <w:tcPr>
            <w:tcW w:w="1170" w:type="dxa"/>
            <w:gridSpan w:val="3"/>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联系人/电话</w:t>
            </w:r>
          </w:p>
        </w:tc>
        <w:tc>
          <w:tcPr>
            <w:tcW w:w="3524" w:type="dxa"/>
            <w:gridSpan w:val="5"/>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000000" w:themeColor="text1"/>
              </w:rPr>
            </w:pPr>
            <w:r>
              <w:rPr>
                <w:rFonts w:hint="eastAsia" w:cs="Times New Roman"/>
                <w:color w:val="000000" w:themeColor="text1"/>
              </w:rPr>
              <w:t>徐恒 18990464686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3" w:type="dxa"/>
            <w:gridSpan w:val="2"/>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电子信箱</w:t>
            </w:r>
          </w:p>
        </w:tc>
        <w:tc>
          <w:tcPr>
            <w:tcW w:w="2389" w:type="dxa"/>
            <w:gridSpan w:val="3"/>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1498714637@qq.com</w:t>
            </w:r>
          </w:p>
        </w:tc>
        <w:tc>
          <w:tcPr>
            <w:tcW w:w="1170" w:type="dxa"/>
            <w:gridSpan w:val="3"/>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电子信箱</w:t>
            </w:r>
          </w:p>
        </w:tc>
        <w:tc>
          <w:tcPr>
            <w:tcW w:w="3524" w:type="dxa"/>
            <w:gridSpan w:val="5"/>
            <w:tcMar>
              <w:left w:w="28" w:type="dxa"/>
              <w:right w:w="28" w:type="dxa"/>
            </w:tcMar>
            <w:vAlign w:val="center"/>
          </w:tcPr>
          <w:p>
            <w:pPr>
              <w:pStyle w:val="52"/>
              <w:keepNext w:val="0"/>
              <w:keepLines w:val="0"/>
              <w:widowControl/>
              <w:suppressLineNumbers w:val="0"/>
              <w:spacing w:before="0" w:beforeAutospacing="0" w:after="0" w:afterAutospacing="0"/>
              <w:ind w:left="0" w:right="0"/>
              <w:rPr>
                <w:rFonts w:cs="Times New Roman"/>
                <w:color w:val="000000" w:themeColor="text1"/>
              </w:rPr>
            </w:pPr>
            <w:r>
              <w:rPr>
                <w:color w:val="000000" w:themeColor="text1"/>
              </w:rPr>
              <w:t>1195421825</w:t>
            </w:r>
            <w:r>
              <w:rPr>
                <w:rFonts w:hint="eastAsia"/>
                <w:color w:val="000000" w:themeColor="text1"/>
              </w:rPr>
              <w:t>@qq.com</w:t>
            </w:r>
          </w:p>
        </w:tc>
      </w:tr>
    </w:tbl>
    <w:p>
      <w:pPr>
        <w:spacing w:before="120"/>
        <w:ind w:firstLine="480"/>
      </w:pPr>
    </w:p>
    <w:p>
      <w:pPr>
        <w:spacing w:before="120"/>
        <w:ind w:firstLine="480"/>
        <w:sectPr>
          <w:headerReference r:id="rId21" w:type="default"/>
          <w:footerReference r:id="rId22" w:type="default"/>
          <w:pgSz w:w="11906" w:h="16838"/>
          <w:pgMar w:top="1304" w:right="1797" w:bottom="1304" w:left="1797" w:header="709" w:footer="709" w:gutter="0"/>
          <w:pgNumType w:fmt="upperRoman"/>
          <w:cols w:space="708" w:num="1"/>
          <w:docGrid w:linePitch="360" w:charSpace="0"/>
        </w:sectPr>
      </w:pPr>
    </w:p>
    <w:p>
      <w:pPr>
        <w:spacing w:before="120"/>
        <w:ind w:firstLine="0" w:firstLineChars="0"/>
        <w:jc w:val="center"/>
        <w:rPr>
          <w:bCs/>
          <w:kern w:val="0"/>
          <w:sz w:val="32"/>
          <w:szCs w:val="32"/>
          <w:lang w:val="zh-CN"/>
        </w:rPr>
      </w:pPr>
      <w:r>
        <w:rPr>
          <w:bCs/>
          <w:kern w:val="0"/>
          <w:sz w:val="32"/>
          <w:szCs w:val="32"/>
          <w:lang w:val="zh-CN"/>
        </w:rPr>
        <w:t>目</w:t>
      </w:r>
      <w:r>
        <w:rPr>
          <w:bCs/>
          <w:kern w:val="0"/>
          <w:sz w:val="32"/>
          <w:szCs w:val="32"/>
          <w:vertAlign w:val="superscript"/>
          <w:lang w:val="zh-CN"/>
        </w:rPr>
        <w:t xml:space="preserve">  </w:t>
      </w:r>
      <w:r>
        <w:rPr>
          <w:bCs/>
          <w:kern w:val="0"/>
          <w:sz w:val="32"/>
          <w:szCs w:val="32"/>
          <w:lang w:val="zh-CN"/>
        </w:rPr>
        <w:t>录</w:t>
      </w:r>
    </w:p>
    <w:p>
      <w:pPr>
        <w:pStyle w:val="25"/>
        <w:tabs>
          <w:tab w:val="right" w:leader="dot" w:pos="8306"/>
        </w:tabs>
      </w:pPr>
      <w:r>
        <w:fldChar w:fldCharType="begin"/>
      </w:r>
      <w:r>
        <w:instrText xml:space="preserve"> TOC \o "1-2" \h \z \u </w:instrText>
      </w:r>
      <w:r>
        <w:fldChar w:fldCharType="separate"/>
      </w:r>
      <w:r>
        <w:fldChar w:fldCharType="begin"/>
      </w:r>
      <w:r>
        <w:instrText xml:space="preserve"> HYPERLINK \l _Toc16757 </w:instrText>
      </w:r>
      <w:r>
        <w:fldChar w:fldCharType="separate"/>
      </w:r>
      <w:r>
        <w:rPr>
          <w:szCs w:val="32"/>
        </w:rPr>
        <w:t>前</w:t>
      </w:r>
      <w:r>
        <w:rPr>
          <w:szCs w:val="32"/>
          <w:vertAlign w:val="superscript"/>
        </w:rPr>
        <w:t xml:space="preserve"> </w:t>
      </w:r>
      <w:r>
        <w:rPr>
          <w:szCs w:val="32"/>
        </w:rPr>
        <w:t>言</w:t>
      </w:r>
      <w:r>
        <w:tab/>
      </w:r>
      <w:r>
        <w:fldChar w:fldCharType="begin"/>
      </w:r>
      <w:r>
        <w:instrText xml:space="preserve"> PAGEREF _Toc16757 </w:instrText>
      </w:r>
      <w:r>
        <w:fldChar w:fldCharType="separate"/>
      </w:r>
      <w:r>
        <w:t>I</w:t>
      </w:r>
      <w:r>
        <w:fldChar w:fldCharType="end"/>
      </w:r>
      <w:r>
        <w:fldChar w:fldCharType="end"/>
      </w:r>
    </w:p>
    <w:p>
      <w:pPr>
        <w:pStyle w:val="25"/>
        <w:tabs>
          <w:tab w:val="right" w:leader="dot" w:pos="8306"/>
        </w:tabs>
      </w:pPr>
      <w:r>
        <w:fldChar w:fldCharType="begin"/>
      </w:r>
      <w:r>
        <w:instrText xml:space="preserve"> HYPERLINK \l _Toc21488 </w:instrText>
      </w:r>
      <w:r>
        <w:fldChar w:fldCharType="separate"/>
      </w:r>
      <w:r>
        <w:t>水土保持设施</w:t>
      </w:r>
      <w:r>
        <w:rPr>
          <w:rFonts w:hint="eastAsia"/>
          <w:lang w:eastAsia="zh-CN"/>
        </w:rPr>
        <w:t>完工</w:t>
      </w:r>
      <w:r>
        <w:t>验收特性表</w:t>
      </w:r>
      <w:r>
        <w:tab/>
      </w:r>
      <w:r>
        <w:fldChar w:fldCharType="begin"/>
      </w:r>
      <w:r>
        <w:instrText xml:space="preserve"> PAGEREF _Toc21488 </w:instrText>
      </w:r>
      <w:r>
        <w:fldChar w:fldCharType="separate"/>
      </w:r>
      <w:r>
        <w:t>IV</w:t>
      </w:r>
      <w:r>
        <w:fldChar w:fldCharType="end"/>
      </w:r>
      <w:r>
        <w:fldChar w:fldCharType="end"/>
      </w:r>
    </w:p>
    <w:p>
      <w:pPr>
        <w:pStyle w:val="25"/>
        <w:tabs>
          <w:tab w:val="right" w:leader="dot" w:pos="8306"/>
        </w:tabs>
      </w:pPr>
      <w:r>
        <w:fldChar w:fldCharType="begin"/>
      </w:r>
      <w:r>
        <w:instrText xml:space="preserve"> HYPERLINK \l _Toc27313 </w:instrText>
      </w:r>
      <w:r>
        <w:fldChar w:fldCharType="separate"/>
      </w:r>
      <w:r>
        <w:rPr>
          <w:rFonts w:hint="eastAsia" w:ascii="Times New Roman" w:hAnsi="Times New Roman" w:cs="Times New Roman"/>
          <w:bCs w:val="0"/>
          <w:i w:val="0"/>
          <w:iCs w:val="0"/>
          <w:caps w:val="0"/>
          <w:smallCaps w:val="0"/>
          <w:strike w:val="0"/>
          <w:dstrike w:val="0"/>
          <w:outline w:val="0"/>
          <w:shadow w:val="0"/>
          <w:emboss w:val="0"/>
          <w:imprint w:val="0"/>
          <w:snapToGrid w:val="0"/>
          <w:vanish w:val="0"/>
          <w:spacing w:val="0"/>
          <w:w w:val="0"/>
          <w:kern w:val="0"/>
          <w:position w:val="0"/>
          <w:szCs w:val="0"/>
          <w:vertAlign w:val="baseline"/>
        </w:rPr>
        <w:t xml:space="preserve">1 </w:t>
      </w:r>
      <w:r>
        <w:t>项目及项目区概况</w:t>
      </w:r>
      <w:r>
        <w:tab/>
      </w:r>
      <w:r>
        <w:fldChar w:fldCharType="begin"/>
      </w:r>
      <w:r>
        <w:instrText xml:space="preserve"> PAGEREF _Toc27313 </w:instrText>
      </w:r>
      <w:r>
        <w:fldChar w:fldCharType="separate"/>
      </w:r>
      <w:r>
        <w:t>- 3 -</w:t>
      </w:r>
      <w:r>
        <w:fldChar w:fldCharType="end"/>
      </w:r>
      <w:r>
        <w:fldChar w:fldCharType="end"/>
      </w:r>
    </w:p>
    <w:p>
      <w:pPr>
        <w:pStyle w:val="28"/>
        <w:tabs>
          <w:tab w:val="right" w:leader="dot" w:pos="8306"/>
        </w:tabs>
      </w:pPr>
      <w:r>
        <w:fldChar w:fldCharType="begin"/>
      </w:r>
      <w:r>
        <w:instrText xml:space="preserve"> HYPERLINK \l _Toc25735 </w:instrText>
      </w:r>
      <w:r>
        <w:fldChar w:fldCharType="separate"/>
      </w:r>
      <w:r>
        <w:rPr>
          <w:rFonts w:hint="eastAsia"/>
          <w:bCs/>
        </w:rPr>
        <w:t xml:space="preserve">1.1 </w:t>
      </w:r>
      <w:r>
        <w:rPr>
          <w:bCs/>
        </w:rPr>
        <w:t>项目概况</w:t>
      </w:r>
      <w:r>
        <w:tab/>
      </w:r>
      <w:r>
        <w:fldChar w:fldCharType="begin"/>
      </w:r>
      <w:r>
        <w:instrText xml:space="preserve"> PAGEREF _Toc25735 </w:instrText>
      </w:r>
      <w:r>
        <w:fldChar w:fldCharType="separate"/>
      </w:r>
      <w:r>
        <w:t>- 3 -</w:t>
      </w:r>
      <w:r>
        <w:fldChar w:fldCharType="end"/>
      </w:r>
      <w:r>
        <w:fldChar w:fldCharType="end"/>
      </w:r>
    </w:p>
    <w:p>
      <w:pPr>
        <w:pStyle w:val="28"/>
        <w:tabs>
          <w:tab w:val="right" w:leader="dot" w:pos="8306"/>
        </w:tabs>
      </w:pPr>
      <w:r>
        <w:fldChar w:fldCharType="begin"/>
      </w:r>
      <w:r>
        <w:instrText xml:space="preserve"> HYPERLINK \l _Toc682 </w:instrText>
      </w:r>
      <w:r>
        <w:fldChar w:fldCharType="separate"/>
      </w:r>
      <w:r>
        <w:rPr>
          <w:rFonts w:hint="eastAsia"/>
          <w:bCs/>
        </w:rPr>
        <w:t xml:space="preserve">1.2 </w:t>
      </w:r>
      <w:r>
        <w:rPr>
          <w:bCs/>
        </w:rPr>
        <w:t>项目区概况</w:t>
      </w:r>
      <w:r>
        <w:tab/>
      </w:r>
      <w:r>
        <w:fldChar w:fldCharType="begin"/>
      </w:r>
      <w:r>
        <w:instrText xml:space="preserve"> PAGEREF _Toc682 </w:instrText>
      </w:r>
      <w:r>
        <w:fldChar w:fldCharType="separate"/>
      </w:r>
      <w:r>
        <w:t>- 13 -</w:t>
      </w:r>
      <w:r>
        <w:fldChar w:fldCharType="end"/>
      </w:r>
      <w:r>
        <w:fldChar w:fldCharType="end"/>
      </w:r>
    </w:p>
    <w:p>
      <w:pPr>
        <w:pStyle w:val="25"/>
        <w:tabs>
          <w:tab w:val="right" w:leader="dot" w:pos="8306"/>
        </w:tabs>
      </w:pPr>
      <w:r>
        <w:fldChar w:fldCharType="begin"/>
      </w:r>
      <w:r>
        <w:instrText xml:space="preserve"> HYPERLINK \l _Toc29567 </w:instrText>
      </w:r>
      <w:r>
        <w:fldChar w:fldCharType="separate"/>
      </w:r>
      <w:r>
        <w:rPr>
          <w:rFonts w:hint="eastAsia" w:ascii="Times New Roman" w:hAnsi="Times New Roman" w:cs="Times New Roman"/>
          <w:bCs w:val="0"/>
          <w:i w:val="0"/>
          <w:iCs w:val="0"/>
          <w:caps w:val="0"/>
          <w:smallCaps w:val="0"/>
          <w:strike w:val="0"/>
          <w:dstrike w:val="0"/>
          <w:outline w:val="0"/>
          <w:shadow w:val="0"/>
          <w:emboss w:val="0"/>
          <w:imprint w:val="0"/>
          <w:snapToGrid w:val="0"/>
          <w:vanish w:val="0"/>
          <w:spacing w:val="0"/>
          <w:w w:val="0"/>
          <w:kern w:val="0"/>
          <w:position w:val="0"/>
          <w:szCs w:val="0"/>
          <w:vertAlign w:val="baseline"/>
        </w:rPr>
        <w:t xml:space="preserve">2 </w:t>
      </w:r>
      <w:r>
        <w:t>水土保持方案和设计情况</w:t>
      </w:r>
      <w:r>
        <w:tab/>
      </w:r>
      <w:r>
        <w:fldChar w:fldCharType="begin"/>
      </w:r>
      <w:r>
        <w:instrText xml:space="preserve"> PAGEREF _Toc29567 </w:instrText>
      </w:r>
      <w:r>
        <w:fldChar w:fldCharType="separate"/>
      </w:r>
      <w:r>
        <w:t>- 19 -</w:t>
      </w:r>
      <w:r>
        <w:fldChar w:fldCharType="end"/>
      </w:r>
      <w:r>
        <w:fldChar w:fldCharType="end"/>
      </w:r>
    </w:p>
    <w:p>
      <w:pPr>
        <w:pStyle w:val="28"/>
        <w:tabs>
          <w:tab w:val="right" w:leader="dot" w:pos="8306"/>
        </w:tabs>
      </w:pPr>
      <w:r>
        <w:fldChar w:fldCharType="begin"/>
      </w:r>
      <w:r>
        <w:instrText xml:space="preserve"> HYPERLINK \l _Toc13492 </w:instrText>
      </w:r>
      <w:r>
        <w:fldChar w:fldCharType="separate"/>
      </w:r>
      <w:r>
        <w:rPr>
          <w:rFonts w:hint="eastAsia"/>
          <w:bCs/>
        </w:rPr>
        <w:t xml:space="preserve">2.1 </w:t>
      </w:r>
      <w:r>
        <w:rPr>
          <w:bCs/>
        </w:rPr>
        <w:t>主体工程设计</w:t>
      </w:r>
      <w:r>
        <w:tab/>
      </w:r>
      <w:r>
        <w:fldChar w:fldCharType="begin"/>
      </w:r>
      <w:r>
        <w:instrText xml:space="preserve"> PAGEREF _Toc13492 </w:instrText>
      </w:r>
      <w:r>
        <w:fldChar w:fldCharType="separate"/>
      </w:r>
      <w:r>
        <w:t>- 19 -</w:t>
      </w:r>
      <w:r>
        <w:fldChar w:fldCharType="end"/>
      </w:r>
      <w:r>
        <w:fldChar w:fldCharType="end"/>
      </w:r>
    </w:p>
    <w:p>
      <w:pPr>
        <w:pStyle w:val="28"/>
        <w:tabs>
          <w:tab w:val="right" w:leader="dot" w:pos="8306"/>
        </w:tabs>
      </w:pPr>
      <w:r>
        <w:fldChar w:fldCharType="begin"/>
      </w:r>
      <w:r>
        <w:instrText xml:space="preserve"> HYPERLINK \l _Toc5545 </w:instrText>
      </w:r>
      <w:r>
        <w:fldChar w:fldCharType="separate"/>
      </w:r>
      <w:r>
        <w:rPr>
          <w:rFonts w:hint="eastAsia"/>
          <w:bCs/>
        </w:rPr>
        <w:t xml:space="preserve">2.2 </w:t>
      </w:r>
      <w:r>
        <w:rPr>
          <w:bCs/>
        </w:rPr>
        <w:t>水土保持方案</w:t>
      </w:r>
      <w:r>
        <w:tab/>
      </w:r>
      <w:r>
        <w:fldChar w:fldCharType="begin"/>
      </w:r>
      <w:r>
        <w:instrText xml:space="preserve"> PAGEREF _Toc5545 </w:instrText>
      </w:r>
      <w:r>
        <w:fldChar w:fldCharType="separate"/>
      </w:r>
      <w:r>
        <w:t>- 19 -</w:t>
      </w:r>
      <w:r>
        <w:fldChar w:fldCharType="end"/>
      </w:r>
      <w:r>
        <w:fldChar w:fldCharType="end"/>
      </w:r>
    </w:p>
    <w:p>
      <w:pPr>
        <w:pStyle w:val="28"/>
        <w:tabs>
          <w:tab w:val="right" w:leader="dot" w:pos="8306"/>
        </w:tabs>
      </w:pPr>
      <w:r>
        <w:fldChar w:fldCharType="begin"/>
      </w:r>
      <w:r>
        <w:instrText xml:space="preserve"> HYPERLINK \l _Toc9727 </w:instrText>
      </w:r>
      <w:r>
        <w:fldChar w:fldCharType="separate"/>
      </w:r>
      <w:r>
        <w:rPr>
          <w:rFonts w:hint="eastAsia"/>
          <w:bCs/>
        </w:rPr>
        <w:t xml:space="preserve">2.3 </w:t>
      </w:r>
      <w:r>
        <w:rPr>
          <w:bCs/>
        </w:rPr>
        <w:t>水土保持方案变更</w:t>
      </w:r>
      <w:r>
        <w:tab/>
      </w:r>
      <w:r>
        <w:fldChar w:fldCharType="begin"/>
      </w:r>
      <w:r>
        <w:instrText xml:space="preserve"> PAGEREF _Toc9727 </w:instrText>
      </w:r>
      <w:r>
        <w:fldChar w:fldCharType="separate"/>
      </w:r>
      <w:r>
        <w:t>- 19 -</w:t>
      </w:r>
      <w:r>
        <w:fldChar w:fldCharType="end"/>
      </w:r>
      <w:r>
        <w:fldChar w:fldCharType="end"/>
      </w:r>
    </w:p>
    <w:p>
      <w:pPr>
        <w:pStyle w:val="25"/>
        <w:tabs>
          <w:tab w:val="right" w:leader="dot" w:pos="8306"/>
        </w:tabs>
      </w:pPr>
      <w:r>
        <w:fldChar w:fldCharType="begin"/>
      </w:r>
      <w:r>
        <w:instrText xml:space="preserve"> HYPERLINK \l _Toc14477 </w:instrText>
      </w:r>
      <w:r>
        <w:fldChar w:fldCharType="separate"/>
      </w:r>
      <w:r>
        <w:rPr>
          <w:rFonts w:hint="eastAsia" w:ascii="Times New Roman" w:hAnsi="Times New Roman" w:cs="Times New Roman"/>
          <w:bCs w:val="0"/>
          <w:i w:val="0"/>
          <w:iCs w:val="0"/>
          <w:caps w:val="0"/>
          <w:smallCaps w:val="0"/>
          <w:strike w:val="0"/>
          <w:dstrike w:val="0"/>
          <w:outline w:val="0"/>
          <w:shadow w:val="0"/>
          <w:emboss w:val="0"/>
          <w:imprint w:val="0"/>
          <w:snapToGrid w:val="0"/>
          <w:vanish w:val="0"/>
          <w:spacing w:val="0"/>
          <w:w w:val="0"/>
          <w:kern w:val="0"/>
          <w:position w:val="0"/>
          <w:szCs w:val="0"/>
          <w:vertAlign w:val="baseline"/>
        </w:rPr>
        <w:t xml:space="preserve">3 </w:t>
      </w:r>
      <w:r>
        <w:t>水土保持方案实施情况</w:t>
      </w:r>
      <w:r>
        <w:tab/>
      </w:r>
      <w:r>
        <w:fldChar w:fldCharType="begin"/>
      </w:r>
      <w:r>
        <w:instrText xml:space="preserve"> PAGEREF _Toc14477 </w:instrText>
      </w:r>
      <w:r>
        <w:fldChar w:fldCharType="separate"/>
      </w:r>
      <w:r>
        <w:t>- 20 -</w:t>
      </w:r>
      <w:r>
        <w:fldChar w:fldCharType="end"/>
      </w:r>
      <w:r>
        <w:fldChar w:fldCharType="end"/>
      </w:r>
    </w:p>
    <w:p>
      <w:pPr>
        <w:pStyle w:val="28"/>
        <w:tabs>
          <w:tab w:val="right" w:leader="dot" w:pos="8306"/>
        </w:tabs>
      </w:pPr>
      <w:r>
        <w:fldChar w:fldCharType="begin"/>
      </w:r>
      <w:r>
        <w:instrText xml:space="preserve"> HYPERLINK \l _Toc24227 </w:instrText>
      </w:r>
      <w:r>
        <w:fldChar w:fldCharType="separate"/>
      </w:r>
      <w:r>
        <w:rPr>
          <w:rFonts w:hint="eastAsia"/>
          <w:bCs/>
        </w:rPr>
        <w:t xml:space="preserve">3.1 </w:t>
      </w:r>
      <w:r>
        <w:rPr>
          <w:bCs/>
        </w:rPr>
        <w:t>水土流失防治责任范围</w:t>
      </w:r>
      <w:r>
        <w:tab/>
      </w:r>
      <w:r>
        <w:fldChar w:fldCharType="begin"/>
      </w:r>
      <w:r>
        <w:instrText xml:space="preserve"> PAGEREF _Toc24227 </w:instrText>
      </w:r>
      <w:r>
        <w:fldChar w:fldCharType="separate"/>
      </w:r>
      <w:r>
        <w:t>- 20 -</w:t>
      </w:r>
      <w:r>
        <w:fldChar w:fldCharType="end"/>
      </w:r>
      <w:r>
        <w:fldChar w:fldCharType="end"/>
      </w:r>
    </w:p>
    <w:p>
      <w:pPr>
        <w:pStyle w:val="28"/>
        <w:tabs>
          <w:tab w:val="right" w:leader="dot" w:pos="8306"/>
        </w:tabs>
      </w:pPr>
      <w:r>
        <w:fldChar w:fldCharType="begin"/>
      </w:r>
      <w:r>
        <w:instrText xml:space="preserve"> HYPERLINK \l _Toc6605 </w:instrText>
      </w:r>
      <w:r>
        <w:fldChar w:fldCharType="separate"/>
      </w:r>
      <w:r>
        <w:rPr>
          <w:rFonts w:hint="eastAsia"/>
          <w:bCs/>
        </w:rPr>
        <w:t xml:space="preserve">3.2 </w:t>
      </w:r>
      <w:r>
        <w:rPr>
          <w:bCs/>
        </w:rPr>
        <w:t>弃渣场设置</w:t>
      </w:r>
      <w:r>
        <w:tab/>
      </w:r>
      <w:r>
        <w:fldChar w:fldCharType="begin"/>
      </w:r>
      <w:r>
        <w:instrText xml:space="preserve"> PAGEREF _Toc6605 </w:instrText>
      </w:r>
      <w:r>
        <w:fldChar w:fldCharType="separate"/>
      </w:r>
      <w:r>
        <w:t>- 22 -</w:t>
      </w:r>
      <w:r>
        <w:fldChar w:fldCharType="end"/>
      </w:r>
      <w:r>
        <w:fldChar w:fldCharType="end"/>
      </w:r>
    </w:p>
    <w:p>
      <w:pPr>
        <w:pStyle w:val="28"/>
        <w:tabs>
          <w:tab w:val="right" w:leader="dot" w:pos="8306"/>
        </w:tabs>
      </w:pPr>
      <w:r>
        <w:fldChar w:fldCharType="begin"/>
      </w:r>
      <w:r>
        <w:instrText xml:space="preserve"> HYPERLINK \l _Toc19457 </w:instrText>
      </w:r>
      <w:r>
        <w:fldChar w:fldCharType="separate"/>
      </w:r>
      <w:r>
        <w:rPr>
          <w:rFonts w:hint="eastAsia"/>
          <w:bCs/>
        </w:rPr>
        <w:t xml:space="preserve">3.3 </w:t>
      </w:r>
      <w:r>
        <w:rPr>
          <w:bCs/>
        </w:rPr>
        <w:t>取土（石、料）场设置</w:t>
      </w:r>
      <w:r>
        <w:tab/>
      </w:r>
      <w:r>
        <w:fldChar w:fldCharType="begin"/>
      </w:r>
      <w:r>
        <w:instrText xml:space="preserve"> PAGEREF _Toc19457 </w:instrText>
      </w:r>
      <w:r>
        <w:fldChar w:fldCharType="separate"/>
      </w:r>
      <w:r>
        <w:t>- 22 -</w:t>
      </w:r>
      <w:r>
        <w:fldChar w:fldCharType="end"/>
      </w:r>
      <w:r>
        <w:fldChar w:fldCharType="end"/>
      </w:r>
    </w:p>
    <w:p>
      <w:pPr>
        <w:pStyle w:val="28"/>
        <w:tabs>
          <w:tab w:val="right" w:leader="dot" w:pos="8306"/>
        </w:tabs>
      </w:pPr>
      <w:r>
        <w:fldChar w:fldCharType="begin"/>
      </w:r>
      <w:r>
        <w:instrText xml:space="preserve"> HYPERLINK \l _Toc1665 </w:instrText>
      </w:r>
      <w:r>
        <w:fldChar w:fldCharType="separate"/>
      </w:r>
      <w:r>
        <w:rPr>
          <w:rFonts w:hint="eastAsia"/>
          <w:bCs/>
        </w:rPr>
        <w:t xml:space="preserve">3.4 </w:t>
      </w:r>
      <w:r>
        <w:rPr>
          <w:bCs/>
        </w:rPr>
        <w:t>水土保持措施总体布局</w:t>
      </w:r>
      <w:r>
        <w:tab/>
      </w:r>
      <w:r>
        <w:fldChar w:fldCharType="begin"/>
      </w:r>
      <w:r>
        <w:instrText xml:space="preserve"> PAGEREF _Toc1665 </w:instrText>
      </w:r>
      <w:r>
        <w:fldChar w:fldCharType="separate"/>
      </w:r>
      <w:r>
        <w:t>- 22 -</w:t>
      </w:r>
      <w:r>
        <w:fldChar w:fldCharType="end"/>
      </w:r>
      <w:r>
        <w:fldChar w:fldCharType="end"/>
      </w:r>
    </w:p>
    <w:p>
      <w:pPr>
        <w:pStyle w:val="28"/>
        <w:tabs>
          <w:tab w:val="right" w:leader="dot" w:pos="8306"/>
        </w:tabs>
      </w:pPr>
      <w:r>
        <w:fldChar w:fldCharType="begin"/>
      </w:r>
      <w:r>
        <w:instrText xml:space="preserve"> HYPERLINK \l _Toc12060 </w:instrText>
      </w:r>
      <w:r>
        <w:fldChar w:fldCharType="separate"/>
      </w:r>
      <w:r>
        <w:rPr>
          <w:rFonts w:hint="eastAsia"/>
          <w:bCs/>
        </w:rPr>
        <w:t xml:space="preserve">3.5 </w:t>
      </w:r>
      <w:r>
        <w:rPr>
          <w:bCs/>
        </w:rPr>
        <w:t>水土保持设施完成情况</w:t>
      </w:r>
      <w:r>
        <w:tab/>
      </w:r>
      <w:r>
        <w:fldChar w:fldCharType="begin"/>
      </w:r>
      <w:r>
        <w:instrText xml:space="preserve"> PAGEREF _Toc12060 </w:instrText>
      </w:r>
      <w:r>
        <w:fldChar w:fldCharType="separate"/>
      </w:r>
      <w:r>
        <w:t>- 25 -</w:t>
      </w:r>
      <w:r>
        <w:fldChar w:fldCharType="end"/>
      </w:r>
      <w:r>
        <w:fldChar w:fldCharType="end"/>
      </w:r>
    </w:p>
    <w:p>
      <w:pPr>
        <w:pStyle w:val="28"/>
        <w:tabs>
          <w:tab w:val="right" w:leader="dot" w:pos="8306"/>
        </w:tabs>
      </w:pPr>
      <w:r>
        <w:fldChar w:fldCharType="begin"/>
      </w:r>
      <w:r>
        <w:instrText xml:space="preserve"> HYPERLINK \l _Toc2727 </w:instrText>
      </w:r>
      <w:r>
        <w:fldChar w:fldCharType="separate"/>
      </w:r>
      <w:r>
        <w:rPr>
          <w:rFonts w:hint="eastAsia"/>
          <w:bCs/>
        </w:rPr>
        <w:t xml:space="preserve">3.6 </w:t>
      </w:r>
      <w:r>
        <w:rPr>
          <w:bCs/>
        </w:rPr>
        <w:t>水土保持投资完成情况</w:t>
      </w:r>
      <w:r>
        <w:tab/>
      </w:r>
      <w:r>
        <w:fldChar w:fldCharType="begin"/>
      </w:r>
      <w:r>
        <w:instrText xml:space="preserve"> PAGEREF _Toc2727 </w:instrText>
      </w:r>
      <w:r>
        <w:fldChar w:fldCharType="separate"/>
      </w:r>
      <w:r>
        <w:t>- 29 -</w:t>
      </w:r>
      <w:r>
        <w:fldChar w:fldCharType="end"/>
      </w:r>
      <w:r>
        <w:fldChar w:fldCharType="end"/>
      </w:r>
    </w:p>
    <w:p>
      <w:pPr>
        <w:pStyle w:val="25"/>
        <w:tabs>
          <w:tab w:val="right" w:leader="dot" w:pos="8306"/>
        </w:tabs>
      </w:pPr>
      <w:r>
        <w:fldChar w:fldCharType="begin"/>
      </w:r>
      <w:r>
        <w:instrText xml:space="preserve"> HYPERLINK \l _Toc7903 </w:instrText>
      </w:r>
      <w:r>
        <w:fldChar w:fldCharType="separate"/>
      </w:r>
      <w:r>
        <w:rPr>
          <w:rFonts w:hint="eastAsia" w:ascii="Times New Roman" w:hAnsi="Times New Roman" w:cs="Times New Roman"/>
          <w:bCs w:val="0"/>
          <w:i w:val="0"/>
          <w:iCs w:val="0"/>
          <w:caps w:val="0"/>
          <w:smallCaps w:val="0"/>
          <w:strike w:val="0"/>
          <w:dstrike w:val="0"/>
          <w:outline w:val="0"/>
          <w:shadow w:val="0"/>
          <w:emboss w:val="0"/>
          <w:imprint w:val="0"/>
          <w:snapToGrid w:val="0"/>
          <w:vanish w:val="0"/>
          <w:spacing w:val="0"/>
          <w:w w:val="0"/>
          <w:kern w:val="0"/>
          <w:position w:val="0"/>
          <w:szCs w:val="0"/>
          <w:vertAlign w:val="baseline"/>
        </w:rPr>
        <w:t xml:space="preserve">4 </w:t>
      </w:r>
      <w:r>
        <w:t>水土保持工程质量</w:t>
      </w:r>
      <w:r>
        <w:tab/>
      </w:r>
      <w:r>
        <w:fldChar w:fldCharType="begin"/>
      </w:r>
      <w:r>
        <w:instrText xml:space="preserve"> PAGEREF _Toc7903 </w:instrText>
      </w:r>
      <w:r>
        <w:fldChar w:fldCharType="separate"/>
      </w:r>
      <w:r>
        <w:t>- 34 -</w:t>
      </w:r>
      <w:r>
        <w:fldChar w:fldCharType="end"/>
      </w:r>
      <w:r>
        <w:fldChar w:fldCharType="end"/>
      </w:r>
    </w:p>
    <w:p>
      <w:pPr>
        <w:pStyle w:val="28"/>
        <w:tabs>
          <w:tab w:val="right" w:leader="dot" w:pos="8306"/>
        </w:tabs>
      </w:pPr>
      <w:r>
        <w:fldChar w:fldCharType="begin"/>
      </w:r>
      <w:r>
        <w:instrText xml:space="preserve"> HYPERLINK \l _Toc14555 </w:instrText>
      </w:r>
      <w:r>
        <w:fldChar w:fldCharType="separate"/>
      </w:r>
      <w:r>
        <w:rPr>
          <w:rFonts w:hint="eastAsia"/>
          <w:bCs/>
        </w:rPr>
        <w:t xml:space="preserve">4.1 </w:t>
      </w:r>
      <w:r>
        <w:rPr>
          <w:bCs/>
        </w:rPr>
        <w:t>质量管理体系</w:t>
      </w:r>
      <w:r>
        <w:tab/>
      </w:r>
      <w:r>
        <w:fldChar w:fldCharType="begin"/>
      </w:r>
      <w:r>
        <w:instrText xml:space="preserve"> PAGEREF _Toc14555 </w:instrText>
      </w:r>
      <w:r>
        <w:fldChar w:fldCharType="separate"/>
      </w:r>
      <w:r>
        <w:t>- 34 -</w:t>
      </w:r>
      <w:r>
        <w:fldChar w:fldCharType="end"/>
      </w:r>
      <w:r>
        <w:fldChar w:fldCharType="end"/>
      </w:r>
    </w:p>
    <w:p>
      <w:pPr>
        <w:pStyle w:val="28"/>
        <w:tabs>
          <w:tab w:val="right" w:leader="dot" w:pos="8306"/>
        </w:tabs>
      </w:pPr>
      <w:r>
        <w:fldChar w:fldCharType="begin"/>
      </w:r>
      <w:r>
        <w:instrText xml:space="preserve"> HYPERLINK \l _Toc17769 </w:instrText>
      </w:r>
      <w:r>
        <w:fldChar w:fldCharType="separate"/>
      </w:r>
      <w:r>
        <w:rPr>
          <w:rFonts w:hint="eastAsia"/>
          <w:bCs/>
        </w:rPr>
        <w:t xml:space="preserve">4.2 </w:t>
      </w:r>
      <w:r>
        <w:rPr>
          <w:bCs/>
        </w:rPr>
        <w:t>各防治分区水土保持工程质量评定</w:t>
      </w:r>
      <w:r>
        <w:tab/>
      </w:r>
      <w:r>
        <w:fldChar w:fldCharType="begin"/>
      </w:r>
      <w:r>
        <w:instrText xml:space="preserve"> PAGEREF _Toc17769 </w:instrText>
      </w:r>
      <w:r>
        <w:fldChar w:fldCharType="separate"/>
      </w:r>
      <w:r>
        <w:t>- 37 -</w:t>
      </w:r>
      <w:r>
        <w:fldChar w:fldCharType="end"/>
      </w:r>
      <w:r>
        <w:fldChar w:fldCharType="end"/>
      </w:r>
    </w:p>
    <w:p>
      <w:pPr>
        <w:pStyle w:val="28"/>
        <w:tabs>
          <w:tab w:val="right" w:leader="dot" w:pos="8306"/>
        </w:tabs>
      </w:pPr>
      <w:r>
        <w:fldChar w:fldCharType="begin"/>
      </w:r>
      <w:r>
        <w:instrText xml:space="preserve"> HYPERLINK \l _Toc13548 </w:instrText>
      </w:r>
      <w:r>
        <w:fldChar w:fldCharType="separate"/>
      </w:r>
      <w:r>
        <w:rPr>
          <w:rFonts w:hint="eastAsia"/>
          <w:bCs/>
        </w:rPr>
        <w:t xml:space="preserve">4.3 </w:t>
      </w:r>
      <w:r>
        <w:rPr>
          <w:bCs/>
        </w:rPr>
        <w:t>弃渣场稳定性评估</w:t>
      </w:r>
      <w:r>
        <w:tab/>
      </w:r>
      <w:r>
        <w:fldChar w:fldCharType="begin"/>
      </w:r>
      <w:r>
        <w:instrText xml:space="preserve"> PAGEREF _Toc13548 </w:instrText>
      </w:r>
      <w:r>
        <w:fldChar w:fldCharType="separate"/>
      </w:r>
      <w:r>
        <w:t>- 43 -</w:t>
      </w:r>
      <w:r>
        <w:fldChar w:fldCharType="end"/>
      </w:r>
      <w:r>
        <w:fldChar w:fldCharType="end"/>
      </w:r>
    </w:p>
    <w:p>
      <w:pPr>
        <w:pStyle w:val="28"/>
        <w:tabs>
          <w:tab w:val="right" w:leader="dot" w:pos="8306"/>
        </w:tabs>
      </w:pPr>
      <w:r>
        <w:fldChar w:fldCharType="begin"/>
      </w:r>
      <w:r>
        <w:instrText xml:space="preserve"> HYPERLINK \l _Toc30927 </w:instrText>
      </w:r>
      <w:r>
        <w:fldChar w:fldCharType="separate"/>
      </w:r>
      <w:r>
        <w:rPr>
          <w:rFonts w:hint="eastAsia"/>
          <w:bCs/>
        </w:rPr>
        <w:t xml:space="preserve">4.4 </w:t>
      </w:r>
      <w:r>
        <w:rPr>
          <w:bCs/>
        </w:rPr>
        <w:t>总体质量评价</w:t>
      </w:r>
      <w:r>
        <w:tab/>
      </w:r>
      <w:r>
        <w:fldChar w:fldCharType="begin"/>
      </w:r>
      <w:r>
        <w:instrText xml:space="preserve"> PAGEREF _Toc30927 </w:instrText>
      </w:r>
      <w:r>
        <w:fldChar w:fldCharType="separate"/>
      </w:r>
      <w:r>
        <w:t>- 43 -</w:t>
      </w:r>
      <w:r>
        <w:fldChar w:fldCharType="end"/>
      </w:r>
      <w:r>
        <w:fldChar w:fldCharType="end"/>
      </w:r>
    </w:p>
    <w:p>
      <w:pPr>
        <w:pStyle w:val="25"/>
        <w:tabs>
          <w:tab w:val="right" w:leader="dot" w:pos="8306"/>
        </w:tabs>
      </w:pPr>
      <w:r>
        <w:fldChar w:fldCharType="begin"/>
      </w:r>
      <w:r>
        <w:instrText xml:space="preserve"> HYPERLINK \l _Toc16400 </w:instrText>
      </w:r>
      <w:r>
        <w:fldChar w:fldCharType="separate"/>
      </w:r>
      <w:r>
        <w:rPr>
          <w:rFonts w:hint="eastAsia" w:ascii="Times New Roman" w:hAnsi="Times New Roman" w:cs="Times New Roman"/>
          <w:bCs w:val="0"/>
          <w:i w:val="0"/>
          <w:iCs w:val="0"/>
          <w:caps w:val="0"/>
          <w:smallCaps w:val="0"/>
          <w:strike w:val="0"/>
          <w:dstrike w:val="0"/>
          <w:outline w:val="0"/>
          <w:shadow w:val="0"/>
          <w:emboss w:val="0"/>
          <w:imprint w:val="0"/>
          <w:snapToGrid w:val="0"/>
          <w:vanish w:val="0"/>
          <w:spacing w:val="0"/>
          <w:w w:val="0"/>
          <w:kern w:val="0"/>
          <w:position w:val="0"/>
          <w:szCs w:val="0"/>
          <w:vertAlign w:val="baseline"/>
        </w:rPr>
        <w:t xml:space="preserve">5 </w:t>
      </w:r>
      <w:r>
        <w:t>项目初期运行及水土保持效果</w:t>
      </w:r>
      <w:r>
        <w:tab/>
      </w:r>
      <w:r>
        <w:fldChar w:fldCharType="begin"/>
      </w:r>
      <w:r>
        <w:instrText xml:space="preserve"> PAGEREF _Toc16400 </w:instrText>
      </w:r>
      <w:r>
        <w:fldChar w:fldCharType="separate"/>
      </w:r>
      <w:r>
        <w:t>- 45 -</w:t>
      </w:r>
      <w:r>
        <w:fldChar w:fldCharType="end"/>
      </w:r>
      <w:r>
        <w:fldChar w:fldCharType="end"/>
      </w:r>
    </w:p>
    <w:p>
      <w:pPr>
        <w:pStyle w:val="28"/>
        <w:tabs>
          <w:tab w:val="right" w:leader="dot" w:pos="8306"/>
        </w:tabs>
      </w:pPr>
      <w:r>
        <w:fldChar w:fldCharType="begin"/>
      </w:r>
      <w:r>
        <w:instrText xml:space="preserve"> HYPERLINK \l _Toc4866 </w:instrText>
      </w:r>
      <w:r>
        <w:fldChar w:fldCharType="separate"/>
      </w:r>
      <w:r>
        <w:rPr>
          <w:rFonts w:hint="eastAsia"/>
          <w:bCs/>
        </w:rPr>
        <w:t xml:space="preserve">5.1 </w:t>
      </w:r>
      <w:r>
        <w:rPr>
          <w:bCs/>
        </w:rPr>
        <w:t>初期运行情况</w:t>
      </w:r>
      <w:r>
        <w:tab/>
      </w:r>
      <w:r>
        <w:fldChar w:fldCharType="begin"/>
      </w:r>
      <w:r>
        <w:instrText xml:space="preserve"> PAGEREF _Toc4866 </w:instrText>
      </w:r>
      <w:r>
        <w:fldChar w:fldCharType="separate"/>
      </w:r>
      <w:r>
        <w:t>- 45 -</w:t>
      </w:r>
      <w:r>
        <w:fldChar w:fldCharType="end"/>
      </w:r>
      <w:r>
        <w:fldChar w:fldCharType="end"/>
      </w:r>
    </w:p>
    <w:p>
      <w:pPr>
        <w:pStyle w:val="28"/>
        <w:tabs>
          <w:tab w:val="right" w:leader="dot" w:pos="8306"/>
        </w:tabs>
      </w:pPr>
      <w:r>
        <w:fldChar w:fldCharType="begin"/>
      </w:r>
      <w:r>
        <w:instrText xml:space="preserve"> HYPERLINK \l _Toc15298 </w:instrText>
      </w:r>
      <w:r>
        <w:fldChar w:fldCharType="separate"/>
      </w:r>
      <w:r>
        <w:rPr>
          <w:rFonts w:hint="eastAsia"/>
          <w:bCs/>
        </w:rPr>
        <w:t xml:space="preserve">5.2 </w:t>
      </w:r>
      <w:r>
        <w:rPr>
          <w:bCs/>
        </w:rPr>
        <w:t>水土保持效果</w:t>
      </w:r>
      <w:r>
        <w:tab/>
      </w:r>
      <w:r>
        <w:fldChar w:fldCharType="begin"/>
      </w:r>
      <w:r>
        <w:instrText xml:space="preserve"> PAGEREF _Toc15298 </w:instrText>
      </w:r>
      <w:r>
        <w:fldChar w:fldCharType="separate"/>
      </w:r>
      <w:r>
        <w:t>- 46 -</w:t>
      </w:r>
      <w:r>
        <w:fldChar w:fldCharType="end"/>
      </w:r>
      <w:r>
        <w:fldChar w:fldCharType="end"/>
      </w:r>
    </w:p>
    <w:p>
      <w:pPr>
        <w:pStyle w:val="25"/>
        <w:tabs>
          <w:tab w:val="right" w:leader="dot" w:pos="8306"/>
        </w:tabs>
      </w:pPr>
      <w:r>
        <w:fldChar w:fldCharType="begin"/>
      </w:r>
      <w:r>
        <w:instrText xml:space="preserve"> HYPERLINK \l _Toc18862 </w:instrText>
      </w:r>
      <w:r>
        <w:fldChar w:fldCharType="separate"/>
      </w:r>
      <w:r>
        <w:rPr>
          <w:rFonts w:hint="eastAsia" w:ascii="Times New Roman" w:hAnsi="Times New Roman" w:cs="Times New Roman"/>
          <w:bCs w:val="0"/>
          <w:i w:val="0"/>
          <w:iCs w:val="0"/>
          <w:caps w:val="0"/>
          <w:smallCaps w:val="0"/>
          <w:strike w:val="0"/>
          <w:dstrike w:val="0"/>
          <w:outline w:val="0"/>
          <w:shadow w:val="0"/>
          <w:emboss w:val="0"/>
          <w:imprint w:val="0"/>
          <w:snapToGrid w:val="0"/>
          <w:vanish w:val="0"/>
          <w:spacing w:val="0"/>
          <w:w w:val="0"/>
          <w:kern w:val="0"/>
          <w:position w:val="0"/>
          <w:szCs w:val="0"/>
          <w:vertAlign w:val="baseline"/>
        </w:rPr>
        <w:t xml:space="preserve">6 </w:t>
      </w:r>
      <w:r>
        <w:t>水土保持管理</w:t>
      </w:r>
      <w:r>
        <w:tab/>
      </w:r>
      <w:r>
        <w:fldChar w:fldCharType="begin"/>
      </w:r>
      <w:r>
        <w:instrText xml:space="preserve"> PAGEREF _Toc18862 </w:instrText>
      </w:r>
      <w:r>
        <w:fldChar w:fldCharType="separate"/>
      </w:r>
      <w:r>
        <w:t>- 51 -</w:t>
      </w:r>
      <w:r>
        <w:fldChar w:fldCharType="end"/>
      </w:r>
      <w:r>
        <w:fldChar w:fldCharType="end"/>
      </w:r>
    </w:p>
    <w:p>
      <w:pPr>
        <w:pStyle w:val="28"/>
        <w:tabs>
          <w:tab w:val="right" w:leader="dot" w:pos="8306"/>
        </w:tabs>
      </w:pPr>
      <w:r>
        <w:fldChar w:fldCharType="begin"/>
      </w:r>
      <w:r>
        <w:instrText xml:space="preserve"> HYPERLINK \l _Toc148 </w:instrText>
      </w:r>
      <w:r>
        <w:fldChar w:fldCharType="separate"/>
      </w:r>
      <w:r>
        <w:rPr>
          <w:rFonts w:hint="eastAsia"/>
          <w:bCs/>
        </w:rPr>
        <w:t xml:space="preserve">6.1 </w:t>
      </w:r>
      <w:r>
        <w:rPr>
          <w:bCs/>
        </w:rPr>
        <w:t>组织领导</w:t>
      </w:r>
      <w:r>
        <w:tab/>
      </w:r>
      <w:r>
        <w:fldChar w:fldCharType="begin"/>
      </w:r>
      <w:r>
        <w:instrText xml:space="preserve"> PAGEREF _Toc148 </w:instrText>
      </w:r>
      <w:r>
        <w:fldChar w:fldCharType="separate"/>
      </w:r>
      <w:r>
        <w:t>- 51 -</w:t>
      </w:r>
      <w:r>
        <w:fldChar w:fldCharType="end"/>
      </w:r>
      <w:r>
        <w:fldChar w:fldCharType="end"/>
      </w:r>
    </w:p>
    <w:p>
      <w:pPr>
        <w:pStyle w:val="28"/>
        <w:tabs>
          <w:tab w:val="right" w:leader="dot" w:pos="8306"/>
        </w:tabs>
      </w:pPr>
      <w:r>
        <w:fldChar w:fldCharType="begin"/>
      </w:r>
      <w:r>
        <w:instrText xml:space="preserve"> HYPERLINK \l _Toc3666 </w:instrText>
      </w:r>
      <w:r>
        <w:fldChar w:fldCharType="separate"/>
      </w:r>
      <w:r>
        <w:rPr>
          <w:rFonts w:hint="eastAsia"/>
          <w:bCs/>
        </w:rPr>
        <w:t xml:space="preserve">6.2 </w:t>
      </w:r>
      <w:r>
        <w:rPr>
          <w:bCs/>
        </w:rPr>
        <w:t>规章制度</w:t>
      </w:r>
      <w:r>
        <w:tab/>
      </w:r>
      <w:r>
        <w:fldChar w:fldCharType="begin"/>
      </w:r>
      <w:r>
        <w:instrText xml:space="preserve"> PAGEREF _Toc3666 </w:instrText>
      </w:r>
      <w:r>
        <w:fldChar w:fldCharType="separate"/>
      </w:r>
      <w:r>
        <w:t>- 51 -</w:t>
      </w:r>
      <w:r>
        <w:fldChar w:fldCharType="end"/>
      </w:r>
      <w:r>
        <w:fldChar w:fldCharType="end"/>
      </w:r>
    </w:p>
    <w:p>
      <w:pPr>
        <w:pStyle w:val="28"/>
        <w:tabs>
          <w:tab w:val="right" w:leader="dot" w:pos="8306"/>
        </w:tabs>
      </w:pPr>
      <w:r>
        <w:fldChar w:fldCharType="begin"/>
      </w:r>
      <w:r>
        <w:instrText xml:space="preserve"> HYPERLINK \l _Toc4213 </w:instrText>
      </w:r>
      <w:r>
        <w:fldChar w:fldCharType="separate"/>
      </w:r>
      <w:r>
        <w:rPr>
          <w:rFonts w:hint="eastAsia"/>
          <w:bCs/>
        </w:rPr>
        <w:t xml:space="preserve">6.3 </w:t>
      </w:r>
      <w:r>
        <w:rPr>
          <w:bCs/>
        </w:rPr>
        <w:t>建设管理</w:t>
      </w:r>
      <w:r>
        <w:tab/>
      </w:r>
      <w:r>
        <w:fldChar w:fldCharType="begin"/>
      </w:r>
      <w:r>
        <w:instrText xml:space="preserve"> PAGEREF _Toc4213 </w:instrText>
      </w:r>
      <w:r>
        <w:fldChar w:fldCharType="separate"/>
      </w:r>
      <w:r>
        <w:t>- 53 -</w:t>
      </w:r>
      <w:r>
        <w:fldChar w:fldCharType="end"/>
      </w:r>
      <w:r>
        <w:fldChar w:fldCharType="end"/>
      </w:r>
    </w:p>
    <w:p>
      <w:pPr>
        <w:pStyle w:val="28"/>
        <w:tabs>
          <w:tab w:val="right" w:leader="dot" w:pos="8306"/>
        </w:tabs>
      </w:pPr>
      <w:r>
        <w:fldChar w:fldCharType="begin"/>
      </w:r>
      <w:r>
        <w:instrText xml:space="preserve"> HYPERLINK \l _Toc32742 </w:instrText>
      </w:r>
      <w:r>
        <w:fldChar w:fldCharType="separate"/>
      </w:r>
      <w:r>
        <w:rPr>
          <w:rFonts w:hint="eastAsia"/>
          <w:bCs/>
        </w:rPr>
        <w:t xml:space="preserve">6.4 </w:t>
      </w:r>
      <w:r>
        <w:rPr>
          <w:bCs/>
        </w:rPr>
        <w:t>水土保持监测</w:t>
      </w:r>
      <w:r>
        <w:tab/>
      </w:r>
      <w:r>
        <w:fldChar w:fldCharType="begin"/>
      </w:r>
      <w:r>
        <w:instrText xml:space="preserve"> PAGEREF _Toc32742 </w:instrText>
      </w:r>
      <w:r>
        <w:fldChar w:fldCharType="separate"/>
      </w:r>
      <w:r>
        <w:t>- 53 -</w:t>
      </w:r>
      <w:r>
        <w:fldChar w:fldCharType="end"/>
      </w:r>
      <w:r>
        <w:fldChar w:fldCharType="end"/>
      </w:r>
    </w:p>
    <w:p>
      <w:pPr>
        <w:pStyle w:val="28"/>
        <w:tabs>
          <w:tab w:val="right" w:leader="dot" w:pos="8306"/>
        </w:tabs>
      </w:pPr>
      <w:r>
        <w:fldChar w:fldCharType="begin"/>
      </w:r>
      <w:r>
        <w:instrText xml:space="preserve"> HYPERLINK \l _Toc10296 </w:instrText>
      </w:r>
      <w:r>
        <w:fldChar w:fldCharType="separate"/>
      </w:r>
      <w:r>
        <w:rPr>
          <w:rFonts w:hint="eastAsia"/>
          <w:bCs/>
        </w:rPr>
        <w:t xml:space="preserve">6.5 </w:t>
      </w:r>
      <w:r>
        <w:rPr>
          <w:bCs/>
        </w:rPr>
        <w:t>水土保持监理</w:t>
      </w:r>
      <w:r>
        <w:tab/>
      </w:r>
      <w:r>
        <w:fldChar w:fldCharType="begin"/>
      </w:r>
      <w:r>
        <w:instrText xml:space="preserve"> PAGEREF _Toc10296 </w:instrText>
      </w:r>
      <w:r>
        <w:fldChar w:fldCharType="separate"/>
      </w:r>
      <w:r>
        <w:t>- 54 -</w:t>
      </w:r>
      <w:r>
        <w:fldChar w:fldCharType="end"/>
      </w:r>
      <w:r>
        <w:fldChar w:fldCharType="end"/>
      </w:r>
    </w:p>
    <w:p>
      <w:pPr>
        <w:pStyle w:val="28"/>
        <w:tabs>
          <w:tab w:val="right" w:leader="dot" w:pos="8306"/>
        </w:tabs>
      </w:pPr>
      <w:r>
        <w:fldChar w:fldCharType="begin"/>
      </w:r>
      <w:r>
        <w:instrText xml:space="preserve"> HYPERLINK \l _Toc702 </w:instrText>
      </w:r>
      <w:r>
        <w:fldChar w:fldCharType="separate"/>
      </w:r>
      <w:r>
        <w:rPr>
          <w:rFonts w:hint="eastAsia"/>
          <w:bCs/>
        </w:rPr>
        <w:t xml:space="preserve">6.6 </w:t>
      </w:r>
      <w:r>
        <w:rPr>
          <w:bCs/>
        </w:rPr>
        <w:t>水行政主管部门监督检查意见落实情况</w:t>
      </w:r>
      <w:r>
        <w:tab/>
      </w:r>
      <w:r>
        <w:fldChar w:fldCharType="begin"/>
      </w:r>
      <w:r>
        <w:instrText xml:space="preserve"> PAGEREF _Toc702 </w:instrText>
      </w:r>
      <w:r>
        <w:fldChar w:fldCharType="separate"/>
      </w:r>
      <w:r>
        <w:t>- 58 -</w:t>
      </w:r>
      <w:r>
        <w:fldChar w:fldCharType="end"/>
      </w:r>
      <w:r>
        <w:fldChar w:fldCharType="end"/>
      </w:r>
    </w:p>
    <w:p>
      <w:pPr>
        <w:pStyle w:val="28"/>
        <w:tabs>
          <w:tab w:val="right" w:leader="dot" w:pos="8306"/>
        </w:tabs>
      </w:pPr>
      <w:r>
        <w:fldChar w:fldCharType="begin"/>
      </w:r>
      <w:r>
        <w:instrText xml:space="preserve"> HYPERLINK \l _Toc4715 </w:instrText>
      </w:r>
      <w:r>
        <w:fldChar w:fldCharType="separate"/>
      </w:r>
      <w:r>
        <w:rPr>
          <w:rFonts w:hint="eastAsia"/>
          <w:bCs/>
        </w:rPr>
        <w:t xml:space="preserve">6.7 </w:t>
      </w:r>
      <w:r>
        <w:rPr>
          <w:bCs/>
        </w:rPr>
        <w:t>水土保持补偿费缴纳情况</w:t>
      </w:r>
      <w:r>
        <w:tab/>
      </w:r>
      <w:r>
        <w:fldChar w:fldCharType="begin"/>
      </w:r>
      <w:r>
        <w:instrText xml:space="preserve"> PAGEREF _Toc4715 </w:instrText>
      </w:r>
      <w:r>
        <w:fldChar w:fldCharType="separate"/>
      </w:r>
      <w:r>
        <w:t>- 58 -</w:t>
      </w:r>
      <w:r>
        <w:fldChar w:fldCharType="end"/>
      </w:r>
      <w:r>
        <w:fldChar w:fldCharType="end"/>
      </w:r>
    </w:p>
    <w:p>
      <w:pPr>
        <w:pStyle w:val="28"/>
        <w:tabs>
          <w:tab w:val="right" w:leader="dot" w:pos="8306"/>
        </w:tabs>
      </w:pPr>
      <w:r>
        <w:fldChar w:fldCharType="begin"/>
      </w:r>
      <w:r>
        <w:instrText xml:space="preserve"> HYPERLINK \l _Toc30869 </w:instrText>
      </w:r>
      <w:r>
        <w:fldChar w:fldCharType="separate"/>
      </w:r>
      <w:r>
        <w:rPr>
          <w:rFonts w:hint="eastAsia"/>
          <w:bCs/>
        </w:rPr>
        <w:t xml:space="preserve">6.8 </w:t>
      </w:r>
      <w:r>
        <w:rPr>
          <w:bCs/>
        </w:rPr>
        <w:t>水土保持设施管理维护</w:t>
      </w:r>
      <w:r>
        <w:tab/>
      </w:r>
      <w:r>
        <w:fldChar w:fldCharType="begin"/>
      </w:r>
      <w:r>
        <w:instrText xml:space="preserve"> PAGEREF _Toc30869 </w:instrText>
      </w:r>
      <w:r>
        <w:fldChar w:fldCharType="separate"/>
      </w:r>
      <w:r>
        <w:t>- 58 -</w:t>
      </w:r>
      <w:r>
        <w:fldChar w:fldCharType="end"/>
      </w:r>
      <w:r>
        <w:fldChar w:fldCharType="end"/>
      </w:r>
    </w:p>
    <w:p>
      <w:pPr>
        <w:pStyle w:val="25"/>
        <w:tabs>
          <w:tab w:val="right" w:leader="dot" w:pos="8306"/>
        </w:tabs>
      </w:pPr>
      <w:r>
        <w:fldChar w:fldCharType="begin"/>
      </w:r>
      <w:r>
        <w:instrText xml:space="preserve"> HYPERLINK \l _Toc28086 </w:instrText>
      </w:r>
      <w:r>
        <w:fldChar w:fldCharType="separate"/>
      </w:r>
      <w:r>
        <w:rPr>
          <w:rFonts w:hint="eastAsia" w:ascii="Times New Roman" w:hAnsi="Times New Roman" w:cs="Times New Roman"/>
          <w:bCs w:val="0"/>
          <w:i w:val="0"/>
          <w:iCs w:val="0"/>
          <w:caps w:val="0"/>
          <w:smallCaps w:val="0"/>
          <w:strike w:val="0"/>
          <w:dstrike w:val="0"/>
          <w:outline w:val="0"/>
          <w:shadow w:val="0"/>
          <w:emboss w:val="0"/>
          <w:imprint w:val="0"/>
          <w:snapToGrid w:val="0"/>
          <w:vanish w:val="0"/>
          <w:spacing w:val="0"/>
          <w:w w:val="0"/>
          <w:kern w:val="0"/>
          <w:position w:val="0"/>
          <w:szCs w:val="0"/>
          <w:vertAlign w:val="baseline"/>
        </w:rPr>
        <w:t xml:space="preserve">7 </w:t>
      </w:r>
      <w:r>
        <w:t>结论</w:t>
      </w:r>
      <w:r>
        <w:tab/>
      </w:r>
      <w:r>
        <w:fldChar w:fldCharType="begin"/>
      </w:r>
      <w:r>
        <w:instrText xml:space="preserve"> PAGEREF _Toc28086 </w:instrText>
      </w:r>
      <w:r>
        <w:fldChar w:fldCharType="separate"/>
      </w:r>
      <w:r>
        <w:t>- 61 -</w:t>
      </w:r>
      <w:r>
        <w:fldChar w:fldCharType="end"/>
      </w:r>
      <w:r>
        <w:fldChar w:fldCharType="end"/>
      </w:r>
    </w:p>
    <w:p>
      <w:pPr>
        <w:pStyle w:val="28"/>
        <w:tabs>
          <w:tab w:val="right" w:leader="dot" w:pos="8306"/>
        </w:tabs>
      </w:pPr>
      <w:r>
        <w:fldChar w:fldCharType="begin"/>
      </w:r>
      <w:r>
        <w:instrText xml:space="preserve"> HYPERLINK \l _Toc8676 </w:instrText>
      </w:r>
      <w:r>
        <w:fldChar w:fldCharType="separate"/>
      </w:r>
      <w:r>
        <w:rPr>
          <w:rFonts w:hint="eastAsia"/>
          <w:bCs/>
        </w:rPr>
        <w:t xml:space="preserve">7.1 </w:t>
      </w:r>
      <w:r>
        <w:rPr>
          <w:bCs/>
        </w:rPr>
        <w:t>结论</w:t>
      </w:r>
      <w:r>
        <w:tab/>
      </w:r>
      <w:r>
        <w:fldChar w:fldCharType="begin"/>
      </w:r>
      <w:r>
        <w:instrText xml:space="preserve"> PAGEREF _Toc8676 </w:instrText>
      </w:r>
      <w:r>
        <w:fldChar w:fldCharType="separate"/>
      </w:r>
      <w:r>
        <w:t>- 61 -</w:t>
      </w:r>
      <w:r>
        <w:fldChar w:fldCharType="end"/>
      </w:r>
      <w:r>
        <w:fldChar w:fldCharType="end"/>
      </w:r>
    </w:p>
    <w:p>
      <w:pPr>
        <w:pStyle w:val="28"/>
        <w:tabs>
          <w:tab w:val="right" w:leader="dot" w:pos="8306"/>
        </w:tabs>
      </w:pPr>
      <w:r>
        <w:fldChar w:fldCharType="begin"/>
      </w:r>
      <w:r>
        <w:instrText xml:space="preserve"> HYPERLINK \l _Toc27482 </w:instrText>
      </w:r>
      <w:r>
        <w:fldChar w:fldCharType="separate"/>
      </w:r>
      <w:r>
        <w:rPr>
          <w:rFonts w:hint="eastAsia"/>
          <w:bCs/>
        </w:rPr>
        <w:t xml:space="preserve">7.2 </w:t>
      </w:r>
      <w:r>
        <w:rPr>
          <w:bCs/>
        </w:rPr>
        <w:t>遗留问题安排</w:t>
      </w:r>
      <w:r>
        <w:tab/>
      </w:r>
      <w:r>
        <w:fldChar w:fldCharType="begin"/>
      </w:r>
      <w:r>
        <w:instrText xml:space="preserve"> PAGEREF _Toc27482 </w:instrText>
      </w:r>
      <w:r>
        <w:fldChar w:fldCharType="separate"/>
      </w:r>
      <w:r>
        <w:t>- 62 -</w:t>
      </w:r>
      <w:r>
        <w:fldChar w:fldCharType="end"/>
      </w:r>
      <w:r>
        <w:fldChar w:fldCharType="end"/>
      </w:r>
    </w:p>
    <w:p>
      <w:pPr>
        <w:pStyle w:val="25"/>
        <w:tabs>
          <w:tab w:val="right" w:leader="dot" w:pos="8306"/>
        </w:tabs>
      </w:pPr>
      <w:r>
        <w:fldChar w:fldCharType="begin"/>
      </w:r>
      <w:r>
        <w:instrText xml:space="preserve"> HYPERLINK \l _Toc15084 </w:instrText>
      </w:r>
      <w:r>
        <w:fldChar w:fldCharType="separate"/>
      </w:r>
      <w:r>
        <w:rPr>
          <w:rFonts w:hint="eastAsia" w:ascii="Times New Roman" w:hAnsi="Times New Roman" w:cs="Times New Roman"/>
          <w:bCs w:val="0"/>
          <w:i w:val="0"/>
          <w:iCs w:val="0"/>
          <w:caps w:val="0"/>
          <w:smallCaps w:val="0"/>
          <w:strike w:val="0"/>
          <w:dstrike w:val="0"/>
          <w:outline w:val="0"/>
          <w:shadow w:val="0"/>
          <w:emboss w:val="0"/>
          <w:imprint w:val="0"/>
          <w:snapToGrid w:val="0"/>
          <w:vanish w:val="0"/>
          <w:spacing w:val="0"/>
          <w:w w:val="0"/>
          <w:kern w:val="0"/>
          <w:position w:val="0"/>
          <w:szCs w:val="0"/>
          <w:vertAlign w:val="baseline"/>
        </w:rPr>
        <w:t xml:space="preserve">8 </w:t>
      </w:r>
      <w:r>
        <w:t>附件及附图</w:t>
      </w:r>
      <w:r>
        <w:tab/>
      </w:r>
      <w:r>
        <w:fldChar w:fldCharType="begin"/>
      </w:r>
      <w:r>
        <w:instrText xml:space="preserve"> PAGEREF _Toc15084 </w:instrText>
      </w:r>
      <w:r>
        <w:fldChar w:fldCharType="separate"/>
      </w:r>
      <w:r>
        <w:t>- 64 -</w:t>
      </w:r>
      <w:r>
        <w:fldChar w:fldCharType="end"/>
      </w:r>
      <w:r>
        <w:fldChar w:fldCharType="end"/>
      </w:r>
    </w:p>
    <w:p>
      <w:pPr>
        <w:pStyle w:val="28"/>
        <w:tabs>
          <w:tab w:val="right" w:leader="dot" w:pos="8306"/>
        </w:tabs>
      </w:pPr>
      <w:r>
        <w:fldChar w:fldCharType="begin"/>
      </w:r>
      <w:r>
        <w:instrText xml:space="preserve"> HYPERLINK \l _Toc28298 </w:instrText>
      </w:r>
      <w:r>
        <w:fldChar w:fldCharType="separate"/>
      </w:r>
      <w:r>
        <w:rPr>
          <w:rFonts w:hint="eastAsia"/>
        </w:rPr>
        <w:t xml:space="preserve">8.1 </w:t>
      </w:r>
      <w:r>
        <w:t>附件</w:t>
      </w:r>
      <w:r>
        <w:tab/>
      </w:r>
      <w:r>
        <w:fldChar w:fldCharType="begin"/>
      </w:r>
      <w:r>
        <w:instrText xml:space="preserve"> PAGEREF _Toc28298 </w:instrText>
      </w:r>
      <w:r>
        <w:fldChar w:fldCharType="separate"/>
      </w:r>
      <w:r>
        <w:t>- 64 -</w:t>
      </w:r>
      <w:r>
        <w:fldChar w:fldCharType="end"/>
      </w:r>
      <w:r>
        <w:fldChar w:fldCharType="end"/>
      </w:r>
    </w:p>
    <w:p>
      <w:pPr>
        <w:pStyle w:val="28"/>
        <w:tabs>
          <w:tab w:val="right" w:leader="dot" w:pos="8306"/>
        </w:tabs>
      </w:pPr>
      <w:r>
        <w:fldChar w:fldCharType="begin"/>
      </w:r>
      <w:r>
        <w:instrText xml:space="preserve"> HYPERLINK \l _Toc14880 </w:instrText>
      </w:r>
      <w:r>
        <w:fldChar w:fldCharType="separate"/>
      </w:r>
      <w:r>
        <w:rPr>
          <w:rFonts w:hint="eastAsia"/>
        </w:rPr>
        <w:t xml:space="preserve">8.2 </w:t>
      </w:r>
      <w:r>
        <w:t>附图</w:t>
      </w:r>
      <w:r>
        <w:tab/>
      </w:r>
      <w:r>
        <w:fldChar w:fldCharType="begin"/>
      </w:r>
      <w:r>
        <w:instrText xml:space="preserve"> PAGEREF _Toc14880 </w:instrText>
      </w:r>
      <w:r>
        <w:fldChar w:fldCharType="separate"/>
      </w:r>
      <w:r>
        <w:t>- 64 -</w:t>
      </w:r>
      <w:r>
        <w:fldChar w:fldCharType="end"/>
      </w:r>
      <w:r>
        <w:fldChar w:fldCharType="end"/>
      </w:r>
    </w:p>
    <w:p>
      <w:pPr>
        <w:spacing w:before="120"/>
        <w:ind w:firstLine="480"/>
        <w:sectPr>
          <w:headerReference r:id="rId23" w:type="default"/>
          <w:footerReference r:id="rId24" w:type="default"/>
          <w:pgSz w:w="11906" w:h="16838"/>
          <w:pgMar w:top="1440" w:right="1800" w:bottom="1440" w:left="1800" w:header="708" w:footer="708" w:gutter="0"/>
          <w:pgNumType w:start="1"/>
          <w:cols w:space="708" w:num="1"/>
          <w:docGrid w:linePitch="360" w:charSpace="0"/>
        </w:sectPr>
      </w:pPr>
      <w:r>
        <w:fldChar w:fldCharType="end"/>
      </w:r>
    </w:p>
    <w:p>
      <w:pPr>
        <w:pStyle w:val="2"/>
      </w:pPr>
      <w:bookmarkStart w:id="12" w:name="_Toc27313"/>
      <w:r>
        <w:t>项目及项目区概况</w:t>
      </w:r>
      <w:bookmarkEnd w:id="12"/>
    </w:p>
    <w:p>
      <w:pPr>
        <w:pStyle w:val="3"/>
        <w:spacing w:before="120" w:after="120"/>
        <w:rPr>
          <w:b/>
          <w:bCs/>
        </w:rPr>
      </w:pPr>
      <w:bookmarkStart w:id="13" w:name="_Toc25735"/>
      <w:r>
        <w:rPr>
          <w:b/>
          <w:bCs/>
        </w:rPr>
        <w:t>项目概况</w:t>
      </w:r>
      <w:bookmarkEnd w:id="13"/>
    </w:p>
    <w:p>
      <w:pPr>
        <w:pStyle w:val="4"/>
        <w:spacing w:before="120"/>
      </w:pPr>
      <w:r>
        <w:t>地理位置</w:t>
      </w:r>
    </w:p>
    <w:p>
      <w:pPr>
        <w:spacing w:before="120"/>
        <w:ind w:firstLine="360" w:firstLineChars="150"/>
        <w:rPr>
          <w:rFonts w:hint="eastAsia"/>
          <w:szCs w:val="22"/>
          <w:lang w:eastAsia="zh-CN"/>
        </w:rPr>
      </w:pPr>
      <w:bookmarkStart w:id="14" w:name="_Toc515294434"/>
      <w:r>
        <w:rPr>
          <w:rFonts w:hint="eastAsia"/>
          <w:szCs w:val="22"/>
          <w:lang w:eastAsia="zh-CN"/>
        </w:rPr>
        <w:t>甘孜雅江柯拉35千伏输变电工程位于甘孜州雅江县境内。项目主要由柯拉35kV变电站新建工程、柯拉35kV变电站线路新建工程和系统通信工程等3部分组成。</w:t>
      </w:r>
    </w:p>
    <w:p>
      <w:pPr>
        <w:spacing w:before="120"/>
        <w:ind w:firstLine="360" w:firstLineChars="150"/>
        <w:rPr>
          <w:rFonts w:hint="eastAsia"/>
          <w:szCs w:val="22"/>
          <w:lang w:eastAsia="zh-CN"/>
        </w:rPr>
      </w:pPr>
      <w:r>
        <w:rPr>
          <w:rFonts w:hint="eastAsia"/>
          <w:szCs w:val="22"/>
          <w:lang w:eastAsia="zh-CN"/>
        </w:rPr>
        <w:t>柯拉35kV变电站位于甘孜州雅江县柯拉乡扎渣村折姆组，紧邻扎德路，交通运输方便。柯拉35kV变电站线路新建工程在甘孜州雅江县柯拉乡境内进行走线，线路起原塔子坝—柯拉简易变线路#74塔，止于新建柯拉35kV变电站，线路路径长1</w:t>
      </w:r>
      <w:r>
        <w:rPr>
          <w:rFonts w:hint="eastAsia"/>
          <w:szCs w:val="22"/>
          <w:lang w:val="en-US" w:eastAsia="zh-CN"/>
        </w:rPr>
        <w:t>8.93</w:t>
      </w:r>
      <w:r>
        <w:rPr>
          <w:rFonts w:hint="eastAsia"/>
          <w:szCs w:val="22"/>
          <w:lang w:eastAsia="zh-CN"/>
        </w:rPr>
        <w:t>km，其中架空线长1</w:t>
      </w:r>
      <w:r>
        <w:rPr>
          <w:rFonts w:hint="eastAsia"/>
          <w:szCs w:val="22"/>
          <w:lang w:val="en-US" w:eastAsia="zh-CN"/>
        </w:rPr>
        <w:t>8.9</w:t>
      </w:r>
      <w:r>
        <w:rPr>
          <w:rFonts w:hint="eastAsia"/>
          <w:szCs w:val="22"/>
          <w:lang w:eastAsia="zh-CN"/>
        </w:rPr>
        <w:t>km，电缆路径长0.03km。区内交通主要依托乡道和通村道路等进行运输，交通较为便利。</w:t>
      </w:r>
    </w:p>
    <w:p>
      <w:pPr>
        <w:pStyle w:val="4"/>
        <w:spacing w:before="120"/>
      </w:pPr>
      <w:r>
        <w:t>主要技术指标</w:t>
      </w:r>
      <w:bookmarkEnd w:id="14"/>
    </w:p>
    <w:p>
      <w:pPr>
        <w:spacing w:before="120"/>
        <w:ind w:firstLine="480"/>
        <w:rPr>
          <w:rFonts w:hint="eastAsia" w:eastAsia="仿宋_GB2312"/>
          <w:lang w:eastAsia="zh-CN"/>
        </w:rPr>
      </w:pPr>
      <w:r>
        <w:rPr>
          <w:rFonts w:hint="eastAsia"/>
          <w:lang w:val="en-US" w:eastAsia="zh-CN"/>
        </w:rPr>
        <w:t>1、</w:t>
      </w:r>
      <w:r>
        <w:t>项目名称：</w:t>
      </w:r>
      <w:r>
        <w:rPr>
          <w:rFonts w:hint="eastAsia"/>
          <w:lang w:eastAsia="zh-CN"/>
        </w:rPr>
        <w:t>甘孜雅江柯拉35千伏输变电工程</w:t>
      </w:r>
    </w:p>
    <w:p>
      <w:pPr>
        <w:spacing w:before="120"/>
        <w:ind w:firstLine="480"/>
      </w:pPr>
      <w:r>
        <w:rPr>
          <w:rFonts w:hint="eastAsia"/>
          <w:lang w:val="en-US" w:eastAsia="zh-CN"/>
        </w:rPr>
        <w:t>2、</w:t>
      </w:r>
      <w:r>
        <w:t>建设地点：</w:t>
      </w:r>
      <w:r>
        <w:rPr>
          <w:rFonts w:hint="eastAsia"/>
        </w:rPr>
        <w:t>甘孜州</w:t>
      </w:r>
      <w:r>
        <w:rPr>
          <w:rFonts w:hint="eastAsia"/>
          <w:lang w:eastAsia="zh-CN"/>
        </w:rPr>
        <w:t>雅江</w:t>
      </w:r>
      <w:r>
        <w:rPr>
          <w:rFonts w:hint="eastAsia"/>
        </w:rPr>
        <w:t>县境内</w:t>
      </w:r>
    </w:p>
    <w:p>
      <w:pPr>
        <w:spacing w:before="120"/>
        <w:ind w:firstLine="480"/>
      </w:pPr>
      <w:r>
        <w:rPr>
          <w:rFonts w:hint="eastAsia"/>
          <w:lang w:val="en-US" w:eastAsia="zh-CN"/>
        </w:rPr>
        <w:t>3、</w:t>
      </w:r>
      <w:r>
        <w:t>建设性质：新建建设类</w:t>
      </w:r>
    </w:p>
    <w:p>
      <w:pPr>
        <w:spacing w:before="120"/>
        <w:ind w:firstLine="480"/>
      </w:pPr>
      <w:r>
        <w:rPr>
          <w:rFonts w:hint="eastAsia"/>
          <w:lang w:val="en-US" w:eastAsia="zh-CN"/>
        </w:rPr>
        <w:t>4、</w:t>
      </w:r>
      <w:r>
        <w:t>建设单位：国网四川省电力公司甘孜供电公司</w:t>
      </w:r>
    </w:p>
    <w:p>
      <w:pPr>
        <w:spacing w:before="120"/>
        <w:ind w:firstLine="480"/>
      </w:pPr>
      <w:r>
        <w:rPr>
          <w:rFonts w:hint="eastAsia"/>
          <w:lang w:val="en-US" w:eastAsia="zh-CN"/>
        </w:rPr>
        <w:t>5、</w:t>
      </w:r>
      <w:r>
        <w:rPr>
          <w:rFonts w:hint="eastAsia"/>
          <w:spacing w:val="6"/>
        </w:rPr>
        <w:t>实际</w:t>
      </w:r>
      <w:r>
        <w:rPr>
          <w:spacing w:val="6"/>
        </w:rPr>
        <w:t>总</w:t>
      </w:r>
      <w:r>
        <w:rPr>
          <w:rFonts w:hint="eastAsia"/>
          <w:spacing w:val="6"/>
        </w:rPr>
        <w:t>占</w:t>
      </w:r>
      <w:r>
        <w:rPr>
          <w:spacing w:val="6"/>
        </w:rPr>
        <w:t>地</w:t>
      </w:r>
      <w:r>
        <w:rPr>
          <w:color w:val="000000" w:themeColor="text1"/>
          <w:spacing w:val="6"/>
        </w:rPr>
        <w:t>：</w:t>
      </w:r>
      <w:r>
        <w:rPr>
          <w:rFonts w:hint="eastAsia"/>
          <w:color w:val="000000" w:themeColor="text1"/>
          <w:lang w:val="en-US" w:eastAsia="zh-CN"/>
        </w:rPr>
        <w:t>1.81</w:t>
      </w:r>
      <w:r>
        <w:rPr>
          <w:color w:val="000000" w:themeColor="text1"/>
        </w:rPr>
        <w:t>hm</w:t>
      </w:r>
      <w:r>
        <w:rPr>
          <w:color w:val="000000" w:themeColor="text1"/>
          <w:vertAlign w:val="superscript"/>
        </w:rPr>
        <w:t>2</w:t>
      </w:r>
    </w:p>
    <w:p>
      <w:pPr>
        <w:spacing w:before="120"/>
        <w:ind w:firstLine="480"/>
        <w:rPr>
          <w:lang w:val="zh-CN"/>
        </w:rPr>
      </w:pPr>
      <w:r>
        <w:rPr>
          <w:rFonts w:hint="eastAsia"/>
          <w:lang w:val="en-US" w:eastAsia="zh-CN"/>
        </w:rPr>
        <w:t>6、</w:t>
      </w:r>
      <w:r>
        <w:rPr>
          <w:lang w:val="zh-CN"/>
        </w:rPr>
        <w:t>工程参建单位：见表1.1-1</w:t>
      </w:r>
    </w:p>
    <w:p>
      <w:pPr>
        <w:spacing w:before="120"/>
        <w:ind w:firstLine="480"/>
        <w:rPr>
          <w:lang w:val="zh-CN"/>
        </w:rPr>
      </w:pPr>
    </w:p>
    <w:p>
      <w:pPr>
        <w:spacing w:before="120"/>
        <w:ind w:firstLine="480"/>
        <w:rPr>
          <w:lang w:val="zh-CN"/>
        </w:rPr>
      </w:pPr>
    </w:p>
    <w:p>
      <w:pPr>
        <w:spacing w:before="120"/>
        <w:ind w:firstLine="480"/>
        <w:rPr>
          <w:lang w:val="zh-CN"/>
        </w:rPr>
      </w:pPr>
    </w:p>
    <w:p>
      <w:pPr>
        <w:spacing w:before="120"/>
        <w:ind w:firstLine="480"/>
        <w:rPr>
          <w:lang w:val="zh-CN"/>
        </w:rPr>
      </w:pPr>
    </w:p>
    <w:p>
      <w:pPr>
        <w:spacing w:before="120"/>
        <w:ind w:firstLine="480"/>
        <w:rPr>
          <w:lang w:val="zh-CN"/>
        </w:rPr>
      </w:pPr>
    </w:p>
    <w:p>
      <w:pPr>
        <w:spacing w:before="120"/>
        <w:ind w:firstLine="480"/>
        <w:rPr>
          <w:lang w:val="zh-CN"/>
        </w:rPr>
      </w:pPr>
    </w:p>
    <w:p>
      <w:pPr>
        <w:pStyle w:val="16"/>
      </w:pPr>
      <w:r>
        <w:t>工程参与单位一览表</w:t>
      </w:r>
    </w:p>
    <w:p>
      <w:pPr>
        <w:pStyle w:val="13"/>
      </w:pPr>
      <w:r>
        <w:t>表</w:t>
      </w:r>
      <w:r>
        <w:rPr>
          <w:vertAlign w:val="superscript"/>
        </w:rPr>
        <w:t xml:space="preserve"> </w:t>
      </w:r>
      <w:r>
        <w:fldChar w:fldCharType="begin"/>
      </w:r>
      <w:r>
        <w:instrText xml:space="preserve"> STYLEREF 2 \s </w:instrText>
      </w:r>
      <w:r>
        <w:fldChar w:fldCharType="separate"/>
      </w:r>
      <w:r>
        <w:t>1.1</w:t>
      </w:r>
      <w:r>
        <w:fldChar w:fldCharType="end"/>
      </w:r>
      <w:r>
        <w:noBreakHyphen/>
      </w:r>
      <w:r>
        <w:fldChar w:fldCharType="begin"/>
      </w:r>
      <w:r>
        <w:instrText xml:space="preserve"> SEQ 表 \* ARABIC \s 2 </w:instrText>
      </w:r>
      <w:r>
        <w:fldChar w:fldCharType="separate"/>
      </w:r>
      <w:r>
        <w:t>1</w:t>
      </w:r>
      <w:r>
        <w:fldChar w:fldCharType="end"/>
      </w:r>
    </w:p>
    <w:tbl>
      <w:tblPr>
        <w:tblStyle w:val="3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2"/>
        <w:gridCol w:w="5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42" w:type="dxa"/>
            <w:vAlign w:val="center"/>
          </w:tcPr>
          <w:p>
            <w:pPr>
              <w:pStyle w:val="52"/>
              <w:keepNext w:val="0"/>
              <w:keepLines w:val="0"/>
              <w:widowControl/>
              <w:suppressLineNumbers w:val="0"/>
              <w:spacing w:before="0" w:beforeAutospacing="0" w:after="0" w:afterAutospacing="0"/>
              <w:ind w:left="0" w:right="0"/>
              <w:rPr>
                <w:color w:val="auto"/>
              </w:rPr>
            </w:pPr>
            <w:r>
              <w:rPr>
                <w:color w:val="auto"/>
              </w:rPr>
              <w:t>单位类别</w:t>
            </w:r>
          </w:p>
        </w:tc>
        <w:tc>
          <w:tcPr>
            <w:tcW w:w="5480" w:type="dxa"/>
            <w:vAlign w:val="center"/>
          </w:tcPr>
          <w:p>
            <w:pPr>
              <w:pStyle w:val="52"/>
              <w:keepNext w:val="0"/>
              <w:keepLines w:val="0"/>
              <w:widowControl/>
              <w:suppressLineNumbers w:val="0"/>
              <w:spacing w:before="0" w:beforeAutospacing="0" w:after="0" w:afterAutospacing="0"/>
              <w:ind w:left="0" w:right="0"/>
              <w:rPr>
                <w:color w:val="auto"/>
              </w:rPr>
            </w:pPr>
            <w:r>
              <w:rPr>
                <w:color w:val="auto"/>
              </w:rPr>
              <w:t>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42" w:type="dxa"/>
            <w:vAlign w:val="center"/>
          </w:tcPr>
          <w:p>
            <w:pPr>
              <w:pStyle w:val="52"/>
              <w:keepNext w:val="0"/>
              <w:keepLines w:val="0"/>
              <w:widowControl/>
              <w:suppressLineNumbers w:val="0"/>
              <w:spacing w:before="0" w:beforeAutospacing="0" w:after="0" w:afterAutospacing="0"/>
              <w:ind w:left="0" w:right="0"/>
              <w:rPr>
                <w:color w:val="auto"/>
              </w:rPr>
            </w:pPr>
            <w:r>
              <w:rPr>
                <w:color w:val="auto"/>
              </w:rPr>
              <w:t>建设单位</w:t>
            </w:r>
          </w:p>
        </w:tc>
        <w:tc>
          <w:tcPr>
            <w:tcW w:w="5480" w:type="dxa"/>
            <w:vAlign w:val="center"/>
          </w:tcPr>
          <w:p>
            <w:pPr>
              <w:pStyle w:val="52"/>
              <w:keepNext w:val="0"/>
              <w:keepLines w:val="0"/>
              <w:widowControl/>
              <w:suppressLineNumbers w:val="0"/>
              <w:spacing w:before="0" w:beforeAutospacing="0" w:after="0" w:afterAutospacing="0"/>
              <w:ind w:left="0" w:right="0"/>
              <w:rPr>
                <w:color w:val="auto"/>
              </w:rPr>
            </w:pPr>
            <w:r>
              <w:rPr>
                <w:color w:val="auto"/>
              </w:rPr>
              <w:t>国网四川省电力公司甘孜供电公司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42" w:type="dxa"/>
            <w:vAlign w:val="center"/>
          </w:tcPr>
          <w:p>
            <w:pPr>
              <w:pStyle w:val="52"/>
              <w:keepNext w:val="0"/>
              <w:keepLines w:val="0"/>
              <w:widowControl/>
              <w:suppressLineNumbers w:val="0"/>
              <w:spacing w:before="0" w:beforeAutospacing="0" w:after="0" w:afterAutospacing="0"/>
              <w:ind w:left="0" w:right="0"/>
              <w:rPr>
                <w:color w:val="auto"/>
              </w:rPr>
            </w:pPr>
            <w:r>
              <w:rPr>
                <w:color w:val="auto"/>
              </w:rPr>
              <w:t>主体工程设计单位</w:t>
            </w:r>
          </w:p>
        </w:tc>
        <w:tc>
          <w:tcPr>
            <w:tcW w:w="5480" w:type="dxa"/>
            <w:vAlign w:val="center"/>
          </w:tcPr>
          <w:p>
            <w:pPr>
              <w:pStyle w:val="52"/>
              <w:keepNext w:val="0"/>
              <w:keepLines w:val="0"/>
              <w:widowControl/>
              <w:suppressLineNumbers w:val="0"/>
              <w:spacing w:before="0" w:beforeAutospacing="0" w:after="0" w:afterAutospacing="0"/>
              <w:ind w:left="0" w:right="0"/>
              <w:rPr>
                <w:rFonts w:hint="eastAsia" w:eastAsia="仿宋_GB2312"/>
                <w:color w:val="auto"/>
                <w:lang w:eastAsia="zh-CN"/>
              </w:rPr>
            </w:pPr>
            <w:r>
              <w:rPr>
                <w:rFonts w:hint="eastAsia"/>
                <w:color w:val="auto"/>
                <w:lang w:eastAsia="zh-CN"/>
              </w:rPr>
              <w:t>成都城电电力工程设计有限公司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42" w:type="dxa"/>
            <w:vAlign w:val="center"/>
          </w:tcPr>
          <w:p>
            <w:pPr>
              <w:pStyle w:val="52"/>
              <w:keepNext w:val="0"/>
              <w:keepLines w:val="0"/>
              <w:widowControl/>
              <w:suppressLineNumbers w:val="0"/>
              <w:spacing w:before="0" w:beforeAutospacing="0" w:after="0" w:afterAutospacing="0"/>
              <w:ind w:left="0" w:right="0"/>
              <w:rPr>
                <w:color w:val="auto"/>
              </w:rPr>
            </w:pPr>
            <w:r>
              <w:rPr>
                <w:color w:val="auto"/>
              </w:rPr>
              <w:t>水土保持方案编制单位</w:t>
            </w:r>
          </w:p>
        </w:tc>
        <w:tc>
          <w:tcPr>
            <w:tcW w:w="5480" w:type="dxa"/>
            <w:vAlign w:val="center"/>
          </w:tcPr>
          <w:p>
            <w:pPr>
              <w:pStyle w:val="52"/>
              <w:keepNext w:val="0"/>
              <w:keepLines w:val="0"/>
              <w:widowControl/>
              <w:suppressLineNumbers w:val="0"/>
              <w:spacing w:before="0" w:beforeAutospacing="0" w:after="0" w:afterAutospacing="0"/>
              <w:ind w:left="0" w:right="0"/>
              <w:rPr>
                <w:color w:val="auto"/>
              </w:rPr>
            </w:pPr>
            <w:r>
              <w:rPr>
                <w:color w:val="auto"/>
                <w:szCs w:val="21"/>
              </w:rPr>
              <w:t>四川联合建设工程设计有限公司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42" w:type="dxa"/>
            <w:vAlign w:val="center"/>
          </w:tcPr>
          <w:p>
            <w:pPr>
              <w:pStyle w:val="52"/>
              <w:keepNext w:val="0"/>
              <w:keepLines w:val="0"/>
              <w:widowControl/>
              <w:suppressLineNumbers w:val="0"/>
              <w:spacing w:before="0" w:beforeAutospacing="0" w:after="0" w:afterAutospacing="0"/>
              <w:ind w:left="0" w:right="0"/>
              <w:rPr>
                <w:color w:val="auto"/>
              </w:rPr>
            </w:pPr>
            <w:r>
              <w:rPr>
                <w:color w:val="auto"/>
              </w:rPr>
              <w:t>主体工程及水土保持监理单位</w:t>
            </w:r>
          </w:p>
        </w:tc>
        <w:tc>
          <w:tcPr>
            <w:tcW w:w="5480" w:type="dxa"/>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szCs w:val="21"/>
              </w:rPr>
              <w:t>四川电力工程建设监理有限责任公司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42" w:type="dxa"/>
            <w:vAlign w:val="center"/>
          </w:tcPr>
          <w:p>
            <w:pPr>
              <w:pStyle w:val="52"/>
              <w:keepNext w:val="0"/>
              <w:keepLines w:val="0"/>
              <w:widowControl/>
              <w:suppressLineNumbers w:val="0"/>
              <w:spacing w:before="0" w:beforeAutospacing="0" w:after="0" w:afterAutospacing="0"/>
              <w:ind w:left="0" w:right="0"/>
              <w:rPr>
                <w:color w:val="auto"/>
              </w:rPr>
            </w:pPr>
            <w:r>
              <w:rPr>
                <w:color w:val="auto"/>
              </w:rPr>
              <w:t>施工单位</w:t>
            </w:r>
          </w:p>
        </w:tc>
        <w:tc>
          <w:tcPr>
            <w:tcW w:w="5480" w:type="dxa"/>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甘孜电力建设有限公司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42" w:type="dxa"/>
            <w:vAlign w:val="center"/>
          </w:tcPr>
          <w:p>
            <w:pPr>
              <w:pStyle w:val="52"/>
              <w:keepNext w:val="0"/>
              <w:keepLines w:val="0"/>
              <w:widowControl/>
              <w:suppressLineNumbers w:val="0"/>
              <w:spacing w:before="0" w:beforeAutospacing="0" w:after="0" w:afterAutospacing="0"/>
              <w:ind w:left="0" w:right="0"/>
              <w:rPr>
                <w:color w:val="auto"/>
              </w:rPr>
            </w:pPr>
            <w:r>
              <w:rPr>
                <w:color w:val="auto"/>
              </w:rPr>
              <w:t>水土保持验收报告编制单位</w:t>
            </w:r>
          </w:p>
        </w:tc>
        <w:tc>
          <w:tcPr>
            <w:tcW w:w="5480" w:type="dxa"/>
            <w:vAlign w:val="center"/>
          </w:tcPr>
          <w:p>
            <w:pPr>
              <w:pStyle w:val="52"/>
              <w:keepNext w:val="0"/>
              <w:keepLines w:val="0"/>
              <w:widowControl/>
              <w:suppressLineNumbers w:val="0"/>
              <w:spacing w:before="0" w:beforeAutospacing="0" w:after="0" w:afterAutospacing="0"/>
              <w:ind w:left="0" w:right="0"/>
              <w:rPr>
                <w:color w:val="auto"/>
              </w:rPr>
            </w:pPr>
            <w:r>
              <w:rPr>
                <w:color w:val="auto"/>
              </w:rPr>
              <w:t>浙江中水工程技术有限公司</w:t>
            </w:r>
          </w:p>
        </w:tc>
      </w:tr>
    </w:tbl>
    <w:p>
      <w:pPr>
        <w:spacing w:before="120"/>
        <w:ind w:firstLine="480"/>
      </w:pPr>
      <w:r>
        <w:t>7、工程建设期：本项目于2019年</w:t>
      </w:r>
      <w:r>
        <w:rPr>
          <w:rFonts w:hint="eastAsia"/>
          <w:lang w:val="en-US" w:eastAsia="zh-CN"/>
        </w:rPr>
        <w:t>4</w:t>
      </w:r>
      <w:r>
        <w:t>月</w:t>
      </w:r>
      <w:r>
        <w:rPr>
          <w:rFonts w:hint="eastAsia"/>
          <w:lang w:val="en-US" w:eastAsia="zh-CN"/>
        </w:rPr>
        <w:t>25</w:t>
      </w:r>
      <w:r>
        <w:t>日开工建设，20</w:t>
      </w:r>
      <w:r>
        <w:rPr>
          <w:rFonts w:hint="eastAsia"/>
          <w:lang w:val="en-US" w:eastAsia="zh-CN"/>
        </w:rPr>
        <w:t>19</w:t>
      </w:r>
      <w:r>
        <w:t>年</w:t>
      </w:r>
      <w:r>
        <w:rPr>
          <w:rFonts w:hint="eastAsia"/>
          <w:lang w:val="en-US" w:eastAsia="zh-CN"/>
        </w:rPr>
        <w:t>11</w:t>
      </w:r>
      <w:r>
        <w:t>月</w:t>
      </w:r>
      <w:r>
        <w:rPr>
          <w:rFonts w:hint="eastAsia"/>
          <w:lang w:val="en-US" w:eastAsia="zh-CN"/>
        </w:rPr>
        <w:t>1</w:t>
      </w:r>
      <w:r>
        <w:t>日建成，建设工期</w:t>
      </w:r>
      <w:r>
        <w:rPr>
          <w:rFonts w:hint="eastAsia"/>
          <w:lang w:val="en-US" w:eastAsia="zh-CN"/>
        </w:rPr>
        <w:t>6</w:t>
      </w:r>
      <w:r>
        <w:t>个月。</w:t>
      </w:r>
    </w:p>
    <w:p>
      <w:pPr>
        <w:spacing w:before="120"/>
        <w:ind w:firstLine="480"/>
      </w:pPr>
      <w:r>
        <w:t>8、本项目的主要技术指标及项目组成见表1.1-2。</w:t>
      </w:r>
    </w:p>
    <w:p>
      <w:pPr>
        <w:pStyle w:val="16"/>
      </w:pPr>
      <w:bookmarkStart w:id="15" w:name="_Toc515294435"/>
      <w:r>
        <w:t>工程项目组成及主要技术指标表</w:t>
      </w:r>
    </w:p>
    <w:p>
      <w:pPr>
        <w:pStyle w:val="13"/>
      </w:pPr>
      <w:r>
        <w:t>表</w:t>
      </w:r>
      <w:r>
        <w:rPr>
          <w:vertAlign w:val="superscript"/>
        </w:rPr>
        <w:t xml:space="preserve"> </w:t>
      </w:r>
      <w:r>
        <w:fldChar w:fldCharType="begin"/>
      </w:r>
      <w:r>
        <w:instrText xml:space="preserve"> STYLEREF 2 \s </w:instrText>
      </w:r>
      <w:r>
        <w:fldChar w:fldCharType="separate"/>
      </w:r>
      <w:r>
        <w:t>1.1</w:t>
      </w:r>
      <w:r>
        <w:fldChar w:fldCharType="end"/>
      </w:r>
      <w:r>
        <w:noBreakHyphen/>
      </w:r>
      <w:r>
        <w:fldChar w:fldCharType="begin"/>
      </w:r>
      <w:r>
        <w:instrText xml:space="preserve"> SEQ 表 \* ARABIC \s 2 </w:instrText>
      </w:r>
      <w:r>
        <w:fldChar w:fldCharType="separate"/>
      </w:r>
      <w:r>
        <w:t>2</w:t>
      </w:r>
      <w:r>
        <w:fldChar w:fldCharType="end"/>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407"/>
        <w:gridCol w:w="388"/>
        <w:gridCol w:w="260"/>
        <w:gridCol w:w="1437"/>
        <w:gridCol w:w="107"/>
        <w:gridCol w:w="658"/>
        <w:gridCol w:w="255"/>
        <w:gridCol w:w="416"/>
        <w:gridCol w:w="668"/>
        <w:gridCol w:w="203"/>
        <w:gridCol w:w="889"/>
        <w:gridCol w:w="575"/>
        <w:gridCol w:w="663"/>
        <w:gridCol w:w="13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8328" w:type="dxa"/>
            <w:gridSpan w:val="15"/>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一、项目简介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055" w:type="dxa"/>
            <w:gridSpan w:val="3"/>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项目名称</w:t>
            </w:r>
          </w:p>
        </w:tc>
        <w:tc>
          <w:tcPr>
            <w:tcW w:w="7273" w:type="dxa"/>
            <w:gridSpan w:val="12"/>
            <w:vAlign w:val="center"/>
          </w:tcPr>
          <w:p>
            <w:pPr>
              <w:pStyle w:val="52"/>
              <w:keepNext w:val="0"/>
              <w:keepLines w:val="0"/>
              <w:widowControl/>
              <w:suppressLineNumbers w:val="0"/>
              <w:spacing w:before="0" w:beforeAutospacing="0" w:after="0" w:afterAutospacing="0"/>
              <w:ind w:left="0" w:right="0"/>
              <w:rPr>
                <w:rFonts w:hint="eastAsia" w:eastAsia="仿宋_GB2312" w:cs="Times New Roman"/>
                <w:color w:val="auto"/>
                <w:sz w:val="20"/>
                <w:lang w:eastAsia="zh-CN"/>
              </w:rPr>
            </w:pPr>
            <w:r>
              <w:rPr>
                <w:rFonts w:hint="eastAsia" w:cs="Times New Roman"/>
                <w:color w:val="auto"/>
                <w:sz w:val="20"/>
                <w:lang w:eastAsia="zh-CN"/>
              </w:rPr>
              <w:t>甘孜雅江柯拉35千伏输变电工程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055" w:type="dxa"/>
            <w:gridSpan w:val="3"/>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工程等级</w:t>
            </w:r>
          </w:p>
        </w:tc>
        <w:tc>
          <w:tcPr>
            <w:tcW w:w="7273" w:type="dxa"/>
            <w:gridSpan w:val="12"/>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小型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055" w:type="dxa"/>
            <w:gridSpan w:val="3"/>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工程性质</w:t>
            </w:r>
          </w:p>
        </w:tc>
        <w:tc>
          <w:tcPr>
            <w:tcW w:w="7273" w:type="dxa"/>
            <w:gridSpan w:val="12"/>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新建建设类工程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055" w:type="dxa"/>
            <w:gridSpan w:val="3"/>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建设地点</w:t>
            </w:r>
          </w:p>
        </w:tc>
        <w:tc>
          <w:tcPr>
            <w:tcW w:w="7273" w:type="dxa"/>
            <w:gridSpan w:val="12"/>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甘孜州</w:t>
            </w:r>
            <w:r>
              <w:rPr>
                <w:rFonts w:hint="eastAsia" w:cs="Times New Roman"/>
                <w:color w:val="auto"/>
                <w:sz w:val="20"/>
                <w:lang w:eastAsia="zh-CN"/>
              </w:rPr>
              <w:t>雅江</w:t>
            </w:r>
            <w:r>
              <w:rPr>
                <w:rFonts w:hint="eastAsia" w:cs="Times New Roman"/>
                <w:color w:val="auto"/>
                <w:sz w:val="20"/>
              </w:rPr>
              <w:t>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055" w:type="dxa"/>
            <w:gridSpan w:val="3"/>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建设单位</w:t>
            </w:r>
          </w:p>
        </w:tc>
        <w:tc>
          <w:tcPr>
            <w:tcW w:w="3541" w:type="dxa"/>
            <w:gridSpan w:val="6"/>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国网四川省电力公司甘孜供电公司</w:t>
            </w:r>
          </w:p>
        </w:tc>
        <w:tc>
          <w:tcPr>
            <w:tcW w:w="1667" w:type="dxa"/>
            <w:gridSpan w:val="3"/>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工程总投资</w:t>
            </w:r>
          </w:p>
        </w:tc>
        <w:tc>
          <w:tcPr>
            <w:tcW w:w="2065" w:type="dxa"/>
            <w:gridSpan w:val="3"/>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000000" w:themeColor="text1"/>
                <w:sz w:val="20"/>
                <w:lang w:val="en-US" w:eastAsia="zh-CN"/>
              </w:rPr>
              <w:t>2218</w:t>
            </w:r>
            <w:r>
              <w:rPr>
                <w:rFonts w:cs="Times New Roman"/>
                <w:color w:val="000000" w:themeColor="text1"/>
                <w:sz w:val="20"/>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055" w:type="dxa"/>
            <w:gridSpan w:val="3"/>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建设工期</w:t>
            </w:r>
          </w:p>
        </w:tc>
        <w:tc>
          <w:tcPr>
            <w:tcW w:w="7273" w:type="dxa"/>
            <w:gridSpan w:val="12"/>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2019年</w:t>
            </w:r>
            <w:r>
              <w:rPr>
                <w:rFonts w:hint="eastAsia" w:cs="Times New Roman"/>
                <w:color w:val="auto"/>
                <w:sz w:val="20"/>
                <w:lang w:val="en-US" w:eastAsia="zh-CN"/>
              </w:rPr>
              <w:t>4</w:t>
            </w:r>
            <w:r>
              <w:rPr>
                <w:rFonts w:hint="eastAsia" w:cs="Times New Roman"/>
                <w:color w:val="auto"/>
                <w:sz w:val="20"/>
              </w:rPr>
              <w:t>月</w:t>
            </w:r>
            <w:r>
              <w:rPr>
                <w:rFonts w:hint="eastAsia" w:cs="Times New Roman"/>
                <w:color w:val="auto"/>
                <w:sz w:val="20"/>
                <w:lang w:val="en-US" w:eastAsia="zh-CN"/>
              </w:rPr>
              <w:t>25</w:t>
            </w:r>
            <w:r>
              <w:rPr>
                <w:rFonts w:hint="eastAsia" w:cs="Times New Roman"/>
                <w:color w:val="auto"/>
                <w:sz w:val="20"/>
              </w:rPr>
              <w:t>日至20</w:t>
            </w:r>
            <w:r>
              <w:rPr>
                <w:rFonts w:hint="eastAsia" w:cs="Times New Roman"/>
                <w:color w:val="auto"/>
                <w:sz w:val="20"/>
                <w:lang w:val="en-US" w:eastAsia="zh-CN"/>
              </w:rPr>
              <w:t>19</w:t>
            </w:r>
            <w:r>
              <w:rPr>
                <w:rFonts w:hint="eastAsia" w:cs="Times New Roman"/>
                <w:color w:val="auto"/>
                <w:sz w:val="20"/>
              </w:rPr>
              <w:t>年</w:t>
            </w:r>
            <w:r>
              <w:rPr>
                <w:rFonts w:hint="eastAsia" w:cs="Times New Roman"/>
                <w:color w:val="auto"/>
                <w:sz w:val="20"/>
                <w:lang w:val="en-US" w:eastAsia="zh-CN"/>
              </w:rPr>
              <w:t>11</w:t>
            </w:r>
            <w:r>
              <w:rPr>
                <w:rFonts w:hint="eastAsia" w:cs="Times New Roman"/>
                <w:color w:val="auto"/>
                <w:sz w:val="20"/>
              </w:rPr>
              <w:t>月1日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407" w:type="dxa"/>
            <w:vMerge w:val="restart"/>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工程规模</w:t>
            </w:r>
          </w:p>
        </w:tc>
        <w:tc>
          <w:tcPr>
            <w:tcW w:w="648" w:type="dxa"/>
            <w:gridSpan w:val="2"/>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变电站工程</w:t>
            </w:r>
          </w:p>
        </w:tc>
        <w:tc>
          <w:tcPr>
            <w:tcW w:w="1437" w:type="dxa"/>
            <w:vAlign w:val="center"/>
          </w:tcPr>
          <w:p>
            <w:pPr>
              <w:pStyle w:val="52"/>
              <w:keepNext w:val="0"/>
              <w:keepLines w:val="0"/>
              <w:widowControl/>
              <w:suppressLineNumbers w:val="0"/>
              <w:spacing w:before="0" w:beforeAutospacing="0" w:after="0" w:afterAutospacing="0"/>
              <w:ind w:left="0" w:right="0"/>
              <w:rPr>
                <w:rFonts w:hint="eastAsia" w:eastAsia="仿宋_GB2312" w:cs="Times New Roman"/>
                <w:color w:val="auto"/>
                <w:sz w:val="20"/>
                <w:lang w:eastAsia="zh-CN"/>
              </w:rPr>
            </w:pPr>
            <w:r>
              <w:rPr>
                <w:rFonts w:hint="eastAsia" w:cs="Times New Roman"/>
                <w:color w:val="auto"/>
                <w:sz w:val="20"/>
                <w:lang w:eastAsia="zh-CN"/>
              </w:rPr>
              <w:t>柯拉35kV变电站</w:t>
            </w:r>
          </w:p>
        </w:tc>
        <w:tc>
          <w:tcPr>
            <w:tcW w:w="5836" w:type="dxa"/>
            <w:gridSpan w:val="11"/>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主变压器</w:t>
            </w:r>
            <w:r>
              <w:rPr>
                <w:rFonts w:hint="eastAsia" w:cs="Times New Roman"/>
                <w:color w:val="auto"/>
                <w:sz w:val="20"/>
                <w:lang w:eastAsia="zh-CN"/>
              </w:rPr>
              <w:t>：</w:t>
            </w:r>
            <w:r>
              <w:rPr>
                <w:rFonts w:hint="eastAsia" w:cs="Times New Roman"/>
                <w:color w:val="auto"/>
                <w:sz w:val="20"/>
              </w:rPr>
              <w:t>本期</w:t>
            </w:r>
            <w:r>
              <w:rPr>
                <w:rFonts w:hint="eastAsia" w:cs="Times New Roman"/>
                <w:color w:val="auto"/>
                <w:sz w:val="20"/>
                <w:vertAlign w:val="superscript"/>
              </w:rPr>
              <w:t xml:space="preserve"> </w:t>
            </w:r>
            <w:r>
              <w:rPr>
                <w:rFonts w:hint="eastAsia" w:cs="Times New Roman"/>
                <w:color w:val="auto"/>
                <w:sz w:val="20"/>
              </w:rPr>
              <w:t>1×6.3MVA，最终</w:t>
            </w:r>
            <w:r>
              <w:rPr>
                <w:rFonts w:hint="eastAsia" w:cs="Times New Roman"/>
                <w:color w:val="auto"/>
                <w:sz w:val="20"/>
                <w:vertAlign w:val="superscript"/>
              </w:rPr>
              <w:t xml:space="preserve"> </w:t>
            </w:r>
            <w:r>
              <w:rPr>
                <w:rFonts w:hint="eastAsia" w:cs="Times New Roman"/>
                <w:color w:val="auto"/>
                <w:sz w:val="20"/>
              </w:rPr>
              <w:t>1×6.3MVA；35kV</w:t>
            </w:r>
            <w:r>
              <w:rPr>
                <w:rFonts w:hint="eastAsia" w:cs="Times New Roman"/>
                <w:color w:val="auto"/>
                <w:sz w:val="20"/>
                <w:vertAlign w:val="superscript"/>
              </w:rPr>
              <w:t xml:space="preserve"> </w:t>
            </w:r>
            <w:r>
              <w:rPr>
                <w:rFonts w:hint="eastAsia" w:cs="Times New Roman"/>
                <w:color w:val="auto"/>
                <w:sz w:val="20"/>
              </w:rPr>
              <w:t>出线：本期</w:t>
            </w:r>
            <w:r>
              <w:rPr>
                <w:rFonts w:hint="eastAsia" w:cs="Times New Roman"/>
                <w:color w:val="auto"/>
                <w:sz w:val="20"/>
                <w:lang w:val="en-US" w:eastAsia="zh-CN"/>
              </w:rPr>
              <w:t>2</w:t>
            </w:r>
            <w:r>
              <w:rPr>
                <w:rFonts w:hint="eastAsia" w:cs="Times New Roman"/>
                <w:color w:val="auto"/>
                <w:sz w:val="20"/>
                <w:vertAlign w:val="superscript"/>
              </w:rPr>
              <w:t xml:space="preserve"> </w:t>
            </w:r>
            <w:r>
              <w:rPr>
                <w:rFonts w:hint="eastAsia" w:cs="Times New Roman"/>
                <w:color w:val="auto"/>
                <w:sz w:val="20"/>
              </w:rPr>
              <w:t>回，最终</w:t>
            </w:r>
            <w:r>
              <w:rPr>
                <w:rFonts w:hint="eastAsia" w:cs="Times New Roman"/>
                <w:color w:val="auto"/>
                <w:sz w:val="20"/>
                <w:vertAlign w:val="superscript"/>
              </w:rPr>
              <w:t xml:space="preserve"> </w:t>
            </w:r>
            <w:r>
              <w:rPr>
                <w:rFonts w:hint="eastAsia" w:cs="Times New Roman"/>
                <w:color w:val="auto"/>
                <w:sz w:val="20"/>
              </w:rPr>
              <w:t>2</w:t>
            </w:r>
            <w:r>
              <w:rPr>
                <w:rFonts w:hint="eastAsia" w:cs="Times New Roman"/>
                <w:color w:val="auto"/>
                <w:sz w:val="20"/>
                <w:vertAlign w:val="superscript"/>
              </w:rPr>
              <w:t xml:space="preserve"> </w:t>
            </w:r>
            <w:r>
              <w:rPr>
                <w:rFonts w:hint="eastAsia" w:cs="Times New Roman"/>
                <w:color w:val="auto"/>
                <w:sz w:val="20"/>
              </w:rPr>
              <w:t>回；10kV</w:t>
            </w:r>
            <w:r>
              <w:rPr>
                <w:rFonts w:hint="eastAsia" w:cs="Times New Roman"/>
                <w:color w:val="auto"/>
                <w:sz w:val="20"/>
                <w:vertAlign w:val="superscript"/>
              </w:rPr>
              <w:t xml:space="preserve"> </w:t>
            </w:r>
            <w:r>
              <w:rPr>
                <w:rFonts w:hint="eastAsia" w:cs="Times New Roman"/>
                <w:color w:val="auto"/>
                <w:sz w:val="20"/>
              </w:rPr>
              <w:t>出线：本期</w:t>
            </w:r>
            <w:r>
              <w:rPr>
                <w:rFonts w:hint="eastAsia" w:cs="Times New Roman"/>
                <w:color w:val="auto"/>
                <w:sz w:val="20"/>
                <w:vertAlign w:val="superscript"/>
              </w:rPr>
              <w:t xml:space="preserve"> </w:t>
            </w:r>
            <w:r>
              <w:rPr>
                <w:rFonts w:hint="eastAsia" w:cs="Times New Roman"/>
                <w:color w:val="auto"/>
                <w:sz w:val="20"/>
              </w:rPr>
              <w:t>4</w:t>
            </w:r>
            <w:r>
              <w:rPr>
                <w:rFonts w:hint="eastAsia" w:cs="Times New Roman"/>
                <w:color w:val="auto"/>
                <w:sz w:val="20"/>
                <w:vertAlign w:val="superscript"/>
              </w:rPr>
              <w:t xml:space="preserve"> </w:t>
            </w:r>
            <w:r>
              <w:rPr>
                <w:rFonts w:hint="eastAsia" w:cs="Times New Roman"/>
                <w:color w:val="auto"/>
                <w:sz w:val="20"/>
              </w:rPr>
              <w:t>回，最终4 回；</w:t>
            </w:r>
            <w:r>
              <w:rPr>
                <w:rFonts w:hint="eastAsia" w:cs="Times New Roman"/>
                <w:color w:val="auto"/>
                <w:sz w:val="20"/>
                <w:lang w:val="en-US" w:eastAsia="zh-CN"/>
              </w:rPr>
              <w:t>10kV无功补偿：</w:t>
            </w:r>
            <w:r>
              <w:rPr>
                <w:rFonts w:hint="eastAsia" w:cs="Times New Roman"/>
                <w:color w:val="auto"/>
                <w:sz w:val="20"/>
              </w:rPr>
              <w:t>本期</w:t>
            </w:r>
            <w:r>
              <w:rPr>
                <w:rFonts w:hint="eastAsia" w:cs="Times New Roman"/>
                <w:color w:val="auto"/>
                <w:sz w:val="20"/>
                <w:lang w:val="en-US" w:eastAsia="zh-CN"/>
              </w:rPr>
              <w:t>1×</w:t>
            </w:r>
            <w:r>
              <w:rPr>
                <w:rFonts w:hint="eastAsia" w:cs="Times New Roman"/>
                <w:color w:val="auto"/>
                <w:sz w:val="20"/>
              </w:rPr>
              <w:t>1.002Mvar</w:t>
            </w:r>
            <w:r>
              <w:rPr>
                <w:rFonts w:hint="eastAsia" w:cs="Times New Roman"/>
                <w:color w:val="auto"/>
                <w:sz w:val="20"/>
                <w:lang w:eastAsia="zh-CN"/>
              </w:rPr>
              <w:t>，</w:t>
            </w:r>
            <w:r>
              <w:rPr>
                <w:rFonts w:hint="eastAsia" w:cs="Times New Roman"/>
                <w:color w:val="auto"/>
                <w:sz w:val="20"/>
                <w:lang w:val="en-US" w:eastAsia="zh-CN"/>
              </w:rPr>
              <w:t>最终1×</w:t>
            </w:r>
            <w:r>
              <w:rPr>
                <w:rFonts w:hint="eastAsia" w:cs="Times New Roman"/>
                <w:color w:val="auto"/>
                <w:sz w:val="20"/>
              </w:rPr>
              <w:t>1.002Mvar。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407" w:type="dxa"/>
            <w:vMerge w:val="continue"/>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c>
          <w:tcPr>
            <w:tcW w:w="648" w:type="dxa"/>
            <w:gridSpan w:val="2"/>
            <w:vMerge w:val="restart"/>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线路工程</w:t>
            </w:r>
          </w:p>
        </w:tc>
        <w:tc>
          <w:tcPr>
            <w:tcW w:w="1437" w:type="dxa"/>
            <w:vAlign w:val="center"/>
          </w:tcPr>
          <w:p>
            <w:pPr>
              <w:pStyle w:val="52"/>
              <w:keepNext w:val="0"/>
              <w:keepLines w:val="0"/>
              <w:widowControl/>
              <w:suppressLineNumbers w:val="0"/>
              <w:spacing w:before="0" w:beforeAutospacing="0" w:after="0" w:afterAutospacing="0"/>
              <w:ind w:left="0" w:right="0"/>
              <w:rPr>
                <w:rFonts w:hint="default" w:cs="Times New Roman"/>
                <w:color w:val="000000" w:themeColor="text1"/>
                <w:sz w:val="20"/>
                <w:lang w:val="en-US"/>
              </w:rPr>
            </w:pPr>
            <w:r>
              <w:rPr>
                <w:rFonts w:hint="eastAsia" w:cs="Times New Roman"/>
                <w:color w:val="000000" w:themeColor="text1"/>
                <w:sz w:val="20"/>
                <w:lang w:val="en-US" w:eastAsia="zh-CN"/>
              </w:rPr>
              <w:t>新建线路</w:t>
            </w:r>
          </w:p>
        </w:tc>
        <w:tc>
          <w:tcPr>
            <w:tcW w:w="5836" w:type="dxa"/>
            <w:gridSpan w:val="11"/>
            <w:vAlign w:val="center"/>
          </w:tcPr>
          <w:p>
            <w:pPr>
              <w:pStyle w:val="52"/>
              <w:keepNext w:val="0"/>
              <w:keepLines w:val="0"/>
              <w:widowControl/>
              <w:suppressLineNumbers w:val="0"/>
              <w:spacing w:before="0" w:beforeAutospacing="0" w:after="0" w:afterAutospacing="0"/>
              <w:ind w:left="0" w:right="0"/>
              <w:jc w:val="left"/>
              <w:rPr>
                <w:rFonts w:cs="Times New Roman"/>
                <w:color w:val="000000" w:themeColor="text1"/>
                <w:sz w:val="20"/>
              </w:rPr>
            </w:pPr>
            <w:r>
              <w:rPr>
                <w:rFonts w:hint="eastAsia" w:cs="Times New Roman"/>
                <w:color w:val="000000" w:themeColor="text1"/>
                <w:sz w:val="20"/>
              </w:rPr>
              <w:t>柯拉35kV变电站线路新建工程在甘孜州雅江县柯拉乡境内进行走线，线路起原塔子坝—柯拉简易变线路#74塔，止于新建柯拉35kV变电站，全线按单回架空设计，线路长约1</w:t>
            </w:r>
            <w:r>
              <w:rPr>
                <w:rFonts w:hint="eastAsia" w:cs="Times New Roman"/>
                <w:color w:val="000000" w:themeColor="text1"/>
                <w:sz w:val="20"/>
                <w:lang w:val="en-US" w:eastAsia="zh-CN"/>
              </w:rPr>
              <w:t>8.93</w:t>
            </w:r>
            <w:r>
              <w:rPr>
                <w:rFonts w:hint="eastAsia" w:cs="Times New Roman"/>
                <w:color w:val="000000" w:themeColor="text1"/>
                <w:sz w:val="20"/>
              </w:rPr>
              <w:t>km，其中架空线长1</w:t>
            </w:r>
            <w:r>
              <w:rPr>
                <w:rFonts w:hint="eastAsia" w:cs="Times New Roman"/>
                <w:color w:val="000000" w:themeColor="text1"/>
                <w:sz w:val="20"/>
                <w:lang w:val="en-US" w:eastAsia="zh-CN"/>
              </w:rPr>
              <w:t>8.9</w:t>
            </w:r>
            <w:r>
              <w:rPr>
                <w:rFonts w:hint="eastAsia" w:cs="Times New Roman"/>
                <w:color w:val="000000" w:themeColor="text1"/>
                <w:sz w:val="20"/>
              </w:rPr>
              <w:t>km，电缆路径长0.03km。曲折系数1.16，全线使用铁塔70基，其中直线塔47基，转角塔23基。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407" w:type="dxa"/>
            <w:vMerge w:val="continue"/>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c>
          <w:tcPr>
            <w:tcW w:w="648" w:type="dxa"/>
            <w:gridSpan w:val="2"/>
            <w:vMerge w:val="continue"/>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c>
          <w:tcPr>
            <w:tcW w:w="1437" w:type="dxa"/>
            <w:vAlign w:val="center"/>
          </w:tcPr>
          <w:p>
            <w:pPr>
              <w:pStyle w:val="52"/>
              <w:keepNext w:val="0"/>
              <w:keepLines w:val="0"/>
              <w:widowControl/>
              <w:suppressLineNumbers w:val="0"/>
              <w:spacing w:before="0" w:beforeAutospacing="0" w:after="0" w:afterAutospacing="0"/>
              <w:ind w:left="0" w:right="0"/>
              <w:rPr>
                <w:rFonts w:cs="Times New Roman"/>
                <w:color w:val="000000" w:themeColor="text1"/>
                <w:sz w:val="20"/>
              </w:rPr>
            </w:pPr>
            <w:r>
              <w:rPr>
                <w:rFonts w:hint="eastAsia" w:cs="Times New Roman"/>
                <w:color w:val="000000" w:themeColor="text1"/>
                <w:sz w:val="20"/>
                <w:lang w:val="en-US" w:eastAsia="zh-CN"/>
              </w:rPr>
              <w:t>系统通信</w:t>
            </w:r>
            <w:r>
              <w:rPr>
                <w:rFonts w:hint="eastAsia" w:cs="Times New Roman"/>
                <w:color w:val="000000" w:themeColor="text1"/>
                <w:sz w:val="20"/>
              </w:rPr>
              <w:t>工程</w:t>
            </w:r>
          </w:p>
        </w:tc>
        <w:tc>
          <w:tcPr>
            <w:tcW w:w="5836" w:type="dxa"/>
            <w:gridSpan w:val="11"/>
            <w:vAlign w:val="center"/>
          </w:tcPr>
          <w:p>
            <w:pPr>
              <w:pStyle w:val="52"/>
              <w:keepNext w:val="0"/>
              <w:keepLines w:val="0"/>
              <w:widowControl/>
              <w:suppressLineNumbers w:val="0"/>
              <w:spacing w:before="0" w:beforeAutospacing="0" w:after="0" w:afterAutospacing="0"/>
              <w:ind w:left="0" w:right="0"/>
              <w:jc w:val="left"/>
              <w:rPr>
                <w:rFonts w:cs="Times New Roman"/>
                <w:color w:val="000000" w:themeColor="text1"/>
                <w:sz w:val="20"/>
              </w:rPr>
            </w:pPr>
            <w:r>
              <w:rPr>
                <w:rFonts w:hint="eastAsia" w:cs="Times New Roman"/>
                <w:color w:val="000000" w:themeColor="text1"/>
                <w:sz w:val="20"/>
              </w:rPr>
              <w:t>系统通信工程为新建35kV柯拉站起至原塔子坝—柯拉简易变线路#74新建1根通信光缆线路，路径长</w:t>
            </w:r>
            <w:r>
              <w:rPr>
                <w:rFonts w:hint="eastAsia" w:cs="Times New Roman"/>
                <w:color w:val="000000" w:themeColor="text1"/>
                <w:sz w:val="20"/>
                <w:lang w:val="en-US" w:eastAsia="zh-CN"/>
              </w:rPr>
              <w:t>18.93</w:t>
            </w:r>
            <w:r>
              <w:rPr>
                <w:rFonts w:hint="eastAsia" w:cs="Times New Roman"/>
                <w:color w:val="000000" w:themeColor="text1"/>
                <w:sz w:val="20"/>
              </w:rPr>
              <w:t>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8328" w:type="dxa"/>
            <w:gridSpan w:val="15"/>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二、工程组成及占地情况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599" w:type="dxa"/>
            <w:gridSpan w:val="5"/>
            <w:vMerge w:val="restart"/>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项目组成</w:t>
            </w:r>
          </w:p>
        </w:tc>
        <w:tc>
          <w:tcPr>
            <w:tcW w:w="2200" w:type="dxa"/>
            <w:gridSpan w:val="5"/>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占地面积(hm</w:t>
            </w:r>
            <w:r>
              <w:rPr>
                <w:rFonts w:cs="Times New Roman"/>
                <w:color w:val="auto"/>
                <w:sz w:val="20"/>
                <w:vertAlign w:val="superscript"/>
              </w:rPr>
              <w:t>2</w:t>
            </w:r>
            <w:r>
              <w:rPr>
                <w:rFonts w:cs="Times New Roman"/>
                <w:color w:val="auto"/>
                <w:sz w:val="20"/>
              </w:rPr>
              <w:t>)</w:t>
            </w:r>
          </w:p>
        </w:tc>
        <w:tc>
          <w:tcPr>
            <w:tcW w:w="3529" w:type="dxa"/>
            <w:gridSpan w:val="5"/>
            <w:vMerge w:val="restart"/>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599" w:type="dxa"/>
            <w:gridSpan w:val="5"/>
            <w:vMerge w:val="continue"/>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c>
          <w:tcPr>
            <w:tcW w:w="658" w:type="dxa"/>
            <w:tcBorders>
              <w:bottom w:val="single" w:color="auto" w:sz="4" w:space="0"/>
            </w:tcBorders>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永久</w:t>
            </w:r>
          </w:p>
        </w:tc>
        <w:tc>
          <w:tcPr>
            <w:tcW w:w="671" w:type="dxa"/>
            <w:gridSpan w:val="2"/>
            <w:tcBorders>
              <w:bottom w:val="single" w:color="auto" w:sz="4" w:space="0"/>
            </w:tcBorders>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临时</w:t>
            </w:r>
          </w:p>
        </w:tc>
        <w:tc>
          <w:tcPr>
            <w:tcW w:w="871" w:type="dxa"/>
            <w:gridSpan w:val="2"/>
            <w:tcBorders>
              <w:bottom w:val="single" w:color="auto" w:sz="4" w:space="0"/>
            </w:tcBorders>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小计</w:t>
            </w:r>
          </w:p>
        </w:tc>
        <w:tc>
          <w:tcPr>
            <w:tcW w:w="3529" w:type="dxa"/>
            <w:gridSpan w:val="5"/>
            <w:vMerge w:val="continue"/>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95" w:type="dxa"/>
            <w:gridSpan w:val="2"/>
            <w:vMerge w:val="restart"/>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变电站工程</w:t>
            </w:r>
          </w:p>
        </w:tc>
        <w:tc>
          <w:tcPr>
            <w:tcW w:w="1804" w:type="dxa"/>
            <w:gridSpan w:val="3"/>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szCs w:val="24"/>
              </w:rPr>
            </w:pPr>
            <w:r>
              <w:rPr>
                <w:rFonts w:hint="eastAsia" w:cs="Times New Roman"/>
                <w:color w:val="auto"/>
                <w:sz w:val="20"/>
                <w:lang w:val="en-US" w:eastAsia="zh-CN"/>
              </w:rPr>
              <w:t>柯拉</w:t>
            </w:r>
            <w:r>
              <w:rPr>
                <w:rFonts w:cs="Times New Roman"/>
                <w:color w:val="auto"/>
                <w:sz w:val="20"/>
              </w:rPr>
              <w:t>35kV</w:t>
            </w:r>
            <w:r>
              <w:rPr>
                <w:rFonts w:cs="Times New Roman"/>
                <w:color w:val="auto"/>
                <w:sz w:val="20"/>
                <w:vertAlign w:val="superscript"/>
              </w:rPr>
              <w:t xml:space="preserve"> </w:t>
            </w:r>
            <w:r>
              <w:rPr>
                <w:rFonts w:hint="eastAsia" w:cs="Times New Roman"/>
                <w:color w:val="auto"/>
                <w:sz w:val="20"/>
              </w:rPr>
              <w:t>变电站</w:t>
            </w:r>
          </w:p>
        </w:tc>
        <w:tc>
          <w:tcPr>
            <w:tcW w:w="658"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cs="Times New Roman"/>
                <w:color w:val="auto"/>
                <w:sz w:val="20"/>
                <w:lang w:val="en-US" w:eastAsia="zh-CN"/>
              </w:rPr>
            </w:pPr>
            <w:r>
              <w:rPr>
                <w:rFonts w:cs="Times New Roman"/>
                <w:color w:val="auto"/>
                <w:sz w:val="20"/>
              </w:rPr>
              <w:t>0.1</w:t>
            </w:r>
            <w:r>
              <w:rPr>
                <w:rFonts w:hint="eastAsia" w:cs="Times New Roman"/>
                <w:color w:val="auto"/>
                <w:sz w:val="20"/>
                <w:lang w:val="en-US" w:eastAsia="zh-CN"/>
              </w:rPr>
              <w:t>3</w:t>
            </w:r>
          </w:p>
        </w:tc>
        <w:tc>
          <w:tcPr>
            <w:tcW w:w="671"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 w:val="20"/>
                <w:szCs w:val="24"/>
              </w:rPr>
            </w:pPr>
            <w:r>
              <w:rPr>
                <w:rFonts w:cs="Times New Roman"/>
                <w:color w:val="auto"/>
                <w:sz w:val="20"/>
              </w:rPr>
              <w:t>　</w:t>
            </w:r>
          </w:p>
        </w:tc>
        <w:tc>
          <w:tcPr>
            <w:tcW w:w="871"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cs="Times New Roman"/>
                <w:color w:val="auto"/>
                <w:sz w:val="20"/>
                <w:lang w:val="en-US" w:eastAsia="zh-CN"/>
              </w:rPr>
            </w:pPr>
            <w:r>
              <w:rPr>
                <w:rFonts w:cs="Times New Roman"/>
                <w:color w:val="auto"/>
                <w:sz w:val="20"/>
              </w:rPr>
              <w:t>0.1</w:t>
            </w:r>
            <w:r>
              <w:rPr>
                <w:rFonts w:hint="eastAsia" w:cs="Times New Roman"/>
                <w:color w:val="auto"/>
                <w:sz w:val="20"/>
                <w:lang w:val="en-US" w:eastAsia="zh-CN"/>
              </w:rPr>
              <w:t>3</w:t>
            </w:r>
          </w:p>
        </w:tc>
        <w:tc>
          <w:tcPr>
            <w:tcW w:w="3529" w:type="dxa"/>
            <w:gridSpan w:val="5"/>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95" w:type="dxa"/>
            <w:gridSpan w:val="2"/>
            <w:vMerge w:val="continue"/>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c>
          <w:tcPr>
            <w:tcW w:w="1804" w:type="dxa"/>
            <w:gridSpan w:val="3"/>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szCs w:val="24"/>
              </w:rPr>
            </w:pPr>
            <w:r>
              <w:rPr>
                <w:rFonts w:hint="eastAsia" w:cs="Times New Roman"/>
                <w:color w:val="auto"/>
                <w:sz w:val="20"/>
              </w:rPr>
              <w:t>施工场地</w:t>
            </w:r>
          </w:p>
        </w:tc>
        <w:tc>
          <w:tcPr>
            <w:tcW w:w="658" w:type="dxa"/>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　</w:t>
            </w:r>
          </w:p>
        </w:tc>
        <w:tc>
          <w:tcPr>
            <w:tcW w:w="671"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0.02</w:t>
            </w:r>
          </w:p>
        </w:tc>
        <w:tc>
          <w:tcPr>
            <w:tcW w:w="871"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0.02</w:t>
            </w:r>
          </w:p>
        </w:tc>
        <w:tc>
          <w:tcPr>
            <w:tcW w:w="3529" w:type="dxa"/>
            <w:gridSpan w:val="5"/>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95" w:type="dxa"/>
            <w:gridSpan w:val="2"/>
            <w:vMerge w:val="restart"/>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线路</w:t>
            </w:r>
          </w:p>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工程</w:t>
            </w:r>
          </w:p>
        </w:tc>
        <w:tc>
          <w:tcPr>
            <w:tcW w:w="1804" w:type="dxa"/>
            <w:gridSpan w:val="3"/>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szCs w:val="24"/>
              </w:rPr>
            </w:pPr>
            <w:r>
              <w:rPr>
                <w:rFonts w:hint="eastAsia" w:cs="Times New Roman"/>
                <w:color w:val="auto"/>
                <w:sz w:val="20"/>
              </w:rPr>
              <w:t>电缆工程</w:t>
            </w:r>
          </w:p>
        </w:tc>
        <w:tc>
          <w:tcPr>
            <w:tcW w:w="658" w:type="dxa"/>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c>
          <w:tcPr>
            <w:tcW w:w="671"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0.01</w:t>
            </w:r>
          </w:p>
        </w:tc>
        <w:tc>
          <w:tcPr>
            <w:tcW w:w="871"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0.01</w:t>
            </w:r>
          </w:p>
        </w:tc>
        <w:tc>
          <w:tcPr>
            <w:tcW w:w="3529" w:type="dxa"/>
            <w:gridSpan w:val="5"/>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95" w:type="dxa"/>
            <w:gridSpan w:val="2"/>
            <w:vMerge w:val="continue"/>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c>
          <w:tcPr>
            <w:tcW w:w="1804" w:type="dxa"/>
            <w:gridSpan w:val="3"/>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szCs w:val="24"/>
              </w:rPr>
            </w:pPr>
            <w:r>
              <w:rPr>
                <w:rFonts w:hint="eastAsia" w:cs="Times New Roman"/>
                <w:color w:val="auto"/>
                <w:sz w:val="20"/>
              </w:rPr>
              <w:t>塔基及塔基临时占地</w:t>
            </w:r>
          </w:p>
        </w:tc>
        <w:tc>
          <w:tcPr>
            <w:tcW w:w="65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0.26</w:t>
            </w:r>
          </w:p>
        </w:tc>
        <w:tc>
          <w:tcPr>
            <w:tcW w:w="671"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0.58</w:t>
            </w:r>
          </w:p>
        </w:tc>
        <w:tc>
          <w:tcPr>
            <w:tcW w:w="871"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0.84</w:t>
            </w:r>
          </w:p>
        </w:tc>
        <w:tc>
          <w:tcPr>
            <w:tcW w:w="3529" w:type="dxa"/>
            <w:gridSpan w:val="5"/>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szCs w:val="24"/>
              </w:rPr>
            </w:pPr>
            <w:r>
              <w:rPr>
                <w:rFonts w:hint="eastAsia" w:cs="Times New Roman"/>
                <w:color w:val="auto"/>
                <w:sz w:val="20"/>
              </w:rPr>
              <w:t>主要包括塔基和塔基施工临时占地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95" w:type="dxa"/>
            <w:gridSpan w:val="2"/>
            <w:vMerge w:val="continue"/>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c>
          <w:tcPr>
            <w:tcW w:w="1804" w:type="dxa"/>
            <w:gridSpan w:val="3"/>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szCs w:val="24"/>
              </w:rPr>
            </w:pPr>
            <w:r>
              <w:rPr>
                <w:rFonts w:hint="eastAsia" w:cs="Times New Roman"/>
                <w:color w:val="auto"/>
                <w:sz w:val="20"/>
              </w:rPr>
              <w:t>其他临时占地</w:t>
            </w:r>
          </w:p>
        </w:tc>
        <w:tc>
          <w:tcPr>
            <w:tcW w:w="658" w:type="dxa"/>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c>
          <w:tcPr>
            <w:tcW w:w="671"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0.11</w:t>
            </w:r>
          </w:p>
        </w:tc>
        <w:tc>
          <w:tcPr>
            <w:tcW w:w="871"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0.11</w:t>
            </w:r>
          </w:p>
        </w:tc>
        <w:tc>
          <w:tcPr>
            <w:tcW w:w="3529" w:type="dxa"/>
            <w:gridSpan w:val="5"/>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szCs w:val="24"/>
              </w:rPr>
            </w:pPr>
            <w:r>
              <w:rPr>
                <w:rFonts w:hint="eastAsia" w:cs="Times New Roman"/>
                <w:color w:val="auto"/>
                <w:sz w:val="20"/>
              </w:rPr>
              <w:t>主要包括牵张场、跨越等施工占地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95" w:type="dxa"/>
            <w:gridSpan w:val="2"/>
            <w:vMerge w:val="continue"/>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c>
          <w:tcPr>
            <w:tcW w:w="1804" w:type="dxa"/>
            <w:gridSpan w:val="3"/>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szCs w:val="24"/>
              </w:rPr>
            </w:pPr>
            <w:r>
              <w:rPr>
                <w:rFonts w:hint="eastAsia" w:cs="Times New Roman"/>
                <w:color w:val="auto"/>
                <w:sz w:val="20"/>
              </w:rPr>
              <w:t>人抬道路</w:t>
            </w:r>
          </w:p>
        </w:tc>
        <w:tc>
          <w:tcPr>
            <w:tcW w:w="658" w:type="dxa"/>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c>
          <w:tcPr>
            <w:tcW w:w="671"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0.73</w:t>
            </w:r>
          </w:p>
        </w:tc>
        <w:tc>
          <w:tcPr>
            <w:tcW w:w="871"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0.73</w:t>
            </w:r>
          </w:p>
        </w:tc>
        <w:tc>
          <w:tcPr>
            <w:tcW w:w="3529" w:type="dxa"/>
            <w:gridSpan w:val="5"/>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szCs w:val="24"/>
              </w:rPr>
            </w:pPr>
            <w:r>
              <w:rPr>
                <w:rFonts w:hint="eastAsia" w:cs="Times New Roman"/>
                <w:color w:val="auto"/>
                <w:sz w:val="20"/>
              </w:rPr>
              <w:t>人抬道路宽</w:t>
            </w:r>
            <w:r>
              <w:rPr>
                <w:rFonts w:cs="Times New Roman"/>
                <w:color w:val="auto"/>
                <w:sz w:val="20"/>
                <w:vertAlign w:val="superscript"/>
              </w:rPr>
              <w:t xml:space="preserve"> </w:t>
            </w:r>
            <w:r>
              <w:rPr>
                <w:rFonts w:cs="Times New Roman"/>
                <w:color w:val="auto"/>
                <w:sz w:val="20"/>
              </w:rPr>
              <w:t>1m</w:t>
            </w:r>
            <w:r>
              <w:rPr>
                <w:rFonts w:cs="Times New Roman"/>
                <w:color w:val="auto"/>
                <w:sz w:val="20"/>
                <w:vertAlign w:val="superscript"/>
              </w:rPr>
              <w:t xml:space="preserve"> </w:t>
            </w:r>
            <w:r>
              <w:rPr>
                <w:rFonts w:hint="eastAsia" w:cs="Times New Roman"/>
                <w:color w:val="auto"/>
                <w:sz w:val="20"/>
              </w:rPr>
              <w:t>长</w:t>
            </w:r>
            <w:r>
              <w:rPr>
                <w:rFonts w:hint="eastAsia" w:cs="Times New Roman"/>
                <w:color w:val="auto"/>
                <w:sz w:val="20"/>
                <w:vertAlign w:val="baseline"/>
                <w:lang w:val="en-US" w:eastAsia="zh-CN"/>
              </w:rPr>
              <w:t>7.3</w:t>
            </w:r>
            <w:r>
              <w:rPr>
                <w:rFonts w:cs="Times New Roman"/>
                <w:color w:val="auto"/>
                <w:sz w:val="20"/>
              </w:rPr>
              <w:t>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gridAfter w:val="1"/>
          <w:wAfter w:w="10" w:type="dxa"/>
          <w:trHeight w:val="340" w:hRule="atLeast"/>
        </w:trPr>
        <w:tc>
          <w:tcPr>
            <w:tcW w:w="2599" w:type="dxa"/>
            <w:gridSpan w:val="5"/>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小计</w:t>
            </w:r>
          </w:p>
        </w:tc>
        <w:tc>
          <w:tcPr>
            <w:tcW w:w="65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0.39</w:t>
            </w:r>
          </w:p>
        </w:tc>
        <w:tc>
          <w:tcPr>
            <w:tcW w:w="671"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1.42</w:t>
            </w:r>
          </w:p>
        </w:tc>
        <w:tc>
          <w:tcPr>
            <w:tcW w:w="871"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1.81</w:t>
            </w:r>
          </w:p>
        </w:tc>
        <w:tc>
          <w:tcPr>
            <w:tcW w:w="3519" w:type="dxa"/>
            <w:gridSpan w:val="4"/>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8328" w:type="dxa"/>
            <w:gridSpan w:val="15"/>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三、土石方工程量（万m</w:t>
            </w:r>
            <w:r>
              <w:rPr>
                <w:rFonts w:cs="Times New Roman"/>
                <w:color w:val="auto"/>
                <w:sz w:val="20"/>
                <w:vertAlign w:val="superscript"/>
              </w:rPr>
              <w:t>3</w:t>
            </w:r>
            <w:r>
              <w:rPr>
                <w:rFonts w:cs="Times New Roman"/>
                <w:color w:val="auto"/>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599" w:type="dxa"/>
            <w:gridSpan w:val="5"/>
            <w:vMerge w:val="restart"/>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项目组成</w:t>
            </w:r>
          </w:p>
        </w:tc>
        <w:tc>
          <w:tcPr>
            <w:tcW w:w="913" w:type="dxa"/>
            <w:gridSpan w:val="2"/>
            <w:vMerge w:val="restart"/>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开挖</w:t>
            </w:r>
          </w:p>
        </w:tc>
        <w:tc>
          <w:tcPr>
            <w:tcW w:w="1084" w:type="dxa"/>
            <w:gridSpan w:val="2"/>
            <w:vMerge w:val="restart"/>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回填</w:t>
            </w:r>
          </w:p>
        </w:tc>
        <w:tc>
          <w:tcPr>
            <w:tcW w:w="1092" w:type="dxa"/>
            <w:gridSpan w:val="2"/>
            <w:vMerge w:val="restart"/>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外购</w:t>
            </w:r>
          </w:p>
        </w:tc>
        <w:tc>
          <w:tcPr>
            <w:tcW w:w="2640" w:type="dxa"/>
            <w:gridSpan w:val="4"/>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弃方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599" w:type="dxa"/>
            <w:gridSpan w:val="5"/>
            <w:vMerge w:val="continue"/>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c>
          <w:tcPr>
            <w:tcW w:w="913" w:type="dxa"/>
            <w:gridSpan w:val="2"/>
            <w:vMerge w:val="continue"/>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c>
          <w:tcPr>
            <w:tcW w:w="1084" w:type="dxa"/>
            <w:gridSpan w:val="2"/>
            <w:vMerge w:val="continue"/>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c>
          <w:tcPr>
            <w:tcW w:w="1092" w:type="dxa"/>
            <w:gridSpan w:val="2"/>
            <w:vMerge w:val="continue"/>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c>
          <w:tcPr>
            <w:tcW w:w="1238" w:type="dxa"/>
            <w:gridSpan w:val="2"/>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自然方</w:t>
            </w:r>
          </w:p>
        </w:tc>
        <w:tc>
          <w:tcPr>
            <w:tcW w:w="1402" w:type="dxa"/>
            <w:gridSpan w:val="2"/>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去向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599" w:type="dxa"/>
            <w:gridSpan w:val="5"/>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000000" w:themeColor="text1"/>
                <w:sz w:val="20"/>
              </w:rPr>
            </w:pPr>
            <w:r>
              <w:rPr>
                <w:rFonts w:cs="Times New Roman"/>
                <w:color w:val="000000" w:themeColor="text1"/>
                <w:sz w:val="20"/>
              </w:rPr>
              <w:t>变电站工程</w:t>
            </w:r>
          </w:p>
        </w:tc>
        <w:tc>
          <w:tcPr>
            <w:tcW w:w="913" w:type="dxa"/>
            <w:gridSpan w:val="2"/>
            <w:shd w:val="clear" w:color="000000" w:fill="FFFFFF"/>
            <w:vAlign w:val="center"/>
          </w:tcPr>
          <w:p>
            <w:pPr>
              <w:pStyle w:val="52"/>
              <w:keepNext w:val="0"/>
              <w:keepLines w:val="0"/>
              <w:widowControl/>
              <w:suppressLineNumbers w:val="0"/>
              <w:spacing w:before="0" w:beforeAutospacing="0" w:after="0" w:afterAutospacing="0"/>
              <w:ind w:left="0" w:right="0"/>
              <w:rPr>
                <w:rFonts w:hint="default" w:eastAsia="宋体"/>
                <w:color w:val="000000" w:themeColor="text1"/>
                <w:lang w:val="en-US" w:eastAsia="zh-CN"/>
              </w:rPr>
            </w:pPr>
            <w:r>
              <w:rPr>
                <w:rFonts w:hint="eastAsia" w:eastAsia="宋体"/>
                <w:color w:val="000000" w:themeColor="text1"/>
                <w:lang w:val="en-US" w:eastAsia="zh-CN"/>
              </w:rPr>
              <w:t>0.09</w:t>
            </w:r>
          </w:p>
        </w:tc>
        <w:tc>
          <w:tcPr>
            <w:tcW w:w="1084" w:type="dxa"/>
            <w:gridSpan w:val="2"/>
            <w:shd w:val="clear" w:color="000000" w:fill="FFFFFF"/>
            <w:vAlign w:val="center"/>
          </w:tcPr>
          <w:p>
            <w:pPr>
              <w:pStyle w:val="52"/>
              <w:keepNext w:val="0"/>
              <w:keepLines w:val="0"/>
              <w:widowControl/>
              <w:suppressLineNumbers w:val="0"/>
              <w:spacing w:before="0" w:beforeAutospacing="0" w:after="0" w:afterAutospacing="0"/>
              <w:ind w:left="0" w:right="0"/>
              <w:rPr>
                <w:rFonts w:hint="default" w:eastAsia="仿宋_GB2312"/>
                <w:color w:val="000000" w:themeColor="text1"/>
                <w:lang w:val="en-US" w:eastAsia="zh-CN"/>
              </w:rPr>
            </w:pPr>
            <w:r>
              <w:rPr>
                <w:rFonts w:hint="eastAsia"/>
                <w:color w:val="000000" w:themeColor="text1"/>
                <w:lang w:val="en-US" w:eastAsia="zh-CN"/>
              </w:rPr>
              <w:t>0.09</w:t>
            </w:r>
          </w:p>
        </w:tc>
        <w:tc>
          <w:tcPr>
            <w:tcW w:w="1092" w:type="dxa"/>
            <w:gridSpan w:val="2"/>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000000" w:themeColor="text1"/>
                <w:sz w:val="20"/>
                <w:szCs w:val="24"/>
              </w:rPr>
            </w:pPr>
          </w:p>
        </w:tc>
        <w:tc>
          <w:tcPr>
            <w:tcW w:w="1238" w:type="dxa"/>
            <w:gridSpan w:val="2"/>
            <w:shd w:val="clear" w:color="000000" w:fill="FFFFFF"/>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000000" w:themeColor="text1"/>
                <w:sz w:val="20"/>
                <w:szCs w:val="24"/>
                <w:lang w:val="en-US" w:eastAsia="zh-CN"/>
              </w:rPr>
            </w:pPr>
            <w:r>
              <w:rPr>
                <w:rFonts w:hint="eastAsia" w:cs="Times New Roman"/>
                <w:color w:val="000000" w:themeColor="text1"/>
                <w:sz w:val="20"/>
                <w:lang w:val="en-US" w:eastAsia="zh-CN"/>
              </w:rPr>
              <w:t>0</w:t>
            </w:r>
          </w:p>
        </w:tc>
        <w:tc>
          <w:tcPr>
            <w:tcW w:w="1402" w:type="dxa"/>
            <w:gridSpan w:val="2"/>
            <w:vMerge w:val="restart"/>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000000" w:themeColor="text1"/>
                <w:sz w:val="20"/>
                <w:szCs w:val="24"/>
              </w:rPr>
            </w:pPr>
            <w:r>
              <w:rPr>
                <w:rFonts w:hint="eastAsia" w:cs="Times New Roman"/>
                <w:color w:val="000000" w:themeColor="text1"/>
                <w:sz w:val="20"/>
                <w:szCs w:val="24"/>
              </w:rPr>
              <w:t>塔基及塔基施工临时占地区内平摊处理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599" w:type="dxa"/>
            <w:gridSpan w:val="5"/>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000000" w:themeColor="text1"/>
                <w:sz w:val="20"/>
              </w:rPr>
            </w:pPr>
            <w:r>
              <w:rPr>
                <w:rFonts w:cs="Times New Roman"/>
                <w:color w:val="000000" w:themeColor="text1"/>
                <w:sz w:val="20"/>
              </w:rPr>
              <w:t>线路工程</w:t>
            </w:r>
          </w:p>
        </w:tc>
        <w:tc>
          <w:tcPr>
            <w:tcW w:w="913" w:type="dxa"/>
            <w:gridSpan w:val="2"/>
            <w:shd w:val="clear" w:color="000000" w:fill="FFFFFF"/>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hint="default"/>
                <w:color w:val="000000" w:themeColor="text1"/>
                <w:lang w:val="en-US"/>
              </w:rPr>
            </w:pPr>
            <w:r>
              <w:rPr>
                <w:rFonts w:hint="default" w:ascii="Times New Roman" w:hAnsi="Times New Roman" w:eastAsia="仿宋_GB2312" w:cs="Times New Roman"/>
                <w:snapToGrid/>
                <w:color w:val="000000"/>
                <w:kern w:val="2"/>
                <w:sz w:val="21"/>
                <w:szCs w:val="18"/>
                <w:lang w:val="en-US" w:eastAsia="zh-CN" w:bidi="ar"/>
              </w:rPr>
              <w:t>0.</w:t>
            </w:r>
            <w:r>
              <w:rPr>
                <w:rFonts w:hint="eastAsia" w:cs="Times New Roman"/>
                <w:snapToGrid/>
                <w:color w:val="000000"/>
                <w:kern w:val="2"/>
                <w:sz w:val="21"/>
                <w:szCs w:val="18"/>
                <w:lang w:val="en-US" w:eastAsia="zh-CN" w:bidi="ar"/>
              </w:rPr>
              <w:t>46</w:t>
            </w:r>
          </w:p>
        </w:tc>
        <w:tc>
          <w:tcPr>
            <w:tcW w:w="1084" w:type="dxa"/>
            <w:gridSpan w:val="2"/>
            <w:shd w:val="clear" w:color="000000" w:fill="FFFFFF"/>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hint="default"/>
                <w:color w:val="000000" w:themeColor="text1"/>
                <w:lang w:val="en-US"/>
              </w:rPr>
            </w:pPr>
            <w:r>
              <w:rPr>
                <w:rFonts w:hint="default" w:ascii="Times New Roman" w:hAnsi="Times New Roman" w:eastAsia="仿宋_GB2312" w:cs="Times New Roman"/>
                <w:snapToGrid/>
                <w:color w:val="000000"/>
                <w:kern w:val="2"/>
                <w:sz w:val="21"/>
                <w:szCs w:val="18"/>
                <w:lang w:val="en-US" w:eastAsia="zh-CN" w:bidi="ar"/>
              </w:rPr>
              <w:t>0.3</w:t>
            </w:r>
            <w:r>
              <w:rPr>
                <w:rFonts w:hint="eastAsia" w:cs="Times New Roman"/>
                <w:snapToGrid/>
                <w:color w:val="000000"/>
                <w:kern w:val="2"/>
                <w:sz w:val="21"/>
                <w:szCs w:val="18"/>
                <w:lang w:val="en-US" w:eastAsia="zh-CN" w:bidi="ar"/>
              </w:rPr>
              <w:t>2</w:t>
            </w:r>
          </w:p>
        </w:tc>
        <w:tc>
          <w:tcPr>
            <w:tcW w:w="1092" w:type="dxa"/>
            <w:gridSpan w:val="2"/>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000000" w:themeColor="text1"/>
                <w:sz w:val="20"/>
                <w:szCs w:val="24"/>
              </w:rPr>
            </w:pPr>
          </w:p>
        </w:tc>
        <w:tc>
          <w:tcPr>
            <w:tcW w:w="1238" w:type="dxa"/>
            <w:gridSpan w:val="2"/>
            <w:shd w:val="clear" w:color="000000" w:fill="FFFFFF"/>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000000" w:themeColor="text1"/>
                <w:sz w:val="20"/>
                <w:szCs w:val="24"/>
                <w:lang w:val="en-US" w:eastAsia="zh-CN"/>
              </w:rPr>
            </w:pPr>
            <w:r>
              <w:rPr>
                <w:rFonts w:hint="eastAsia" w:cs="Times New Roman"/>
                <w:color w:val="000000" w:themeColor="text1"/>
                <w:sz w:val="20"/>
                <w:lang w:val="en-US" w:eastAsia="zh-CN"/>
              </w:rPr>
              <w:t>0.14</w:t>
            </w:r>
          </w:p>
        </w:tc>
        <w:tc>
          <w:tcPr>
            <w:tcW w:w="1402" w:type="dxa"/>
            <w:gridSpan w:val="2"/>
            <w:vMerge w:val="continue"/>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000000" w:themeColor="text1"/>
                <w:sz w:val="2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599" w:type="dxa"/>
            <w:gridSpan w:val="5"/>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000000" w:themeColor="text1"/>
                <w:sz w:val="20"/>
              </w:rPr>
            </w:pPr>
            <w:r>
              <w:rPr>
                <w:rFonts w:cs="Times New Roman"/>
                <w:color w:val="000000" w:themeColor="text1"/>
                <w:sz w:val="20"/>
              </w:rPr>
              <w:t>合计</w:t>
            </w:r>
          </w:p>
        </w:tc>
        <w:tc>
          <w:tcPr>
            <w:tcW w:w="913" w:type="dxa"/>
            <w:gridSpan w:val="2"/>
            <w:shd w:val="clear" w:color="000000" w:fill="FFFFFF"/>
            <w:vAlign w:val="center"/>
          </w:tcPr>
          <w:p>
            <w:pPr>
              <w:pStyle w:val="52"/>
              <w:keepNext w:val="0"/>
              <w:keepLines w:val="0"/>
              <w:widowControl/>
              <w:suppressLineNumbers w:val="0"/>
              <w:spacing w:before="0" w:beforeAutospacing="0" w:after="0" w:afterAutospacing="0"/>
              <w:ind w:left="0" w:right="0"/>
              <w:rPr>
                <w:rFonts w:hint="default" w:eastAsia="仿宋_GB2312"/>
                <w:color w:val="000000" w:themeColor="text1"/>
                <w:lang w:val="en-US" w:eastAsia="zh-CN"/>
              </w:rPr>
            </w:pPr>
            <w:r>
              <w:rPr>
                <w:rFonts w:hint="eastAsia"/>
                <w:color w:val="000000" w:themeColor="text1"/>
                <w:lang w:val="en-US" w:eastAsia="zh-CN"/>
              </w:rPr>
              <w:t>0.55</w:t>
            </w:r>
          </w:p>
        </w:tc>
        <w:tc>
          <w:tcPr>
            <w:tcW w:w="1084" w:type="dxa"/>
            <w:gridSpan w:val="2"/>
            <w:shd w:val="clear" w:color="000000" w:fill="FFFFFF"/>
            <w:vAlign w:val="center"/>
          </w:tcPr>
          <w:p>
            <w:pPr>
              <w:pStyle w:val="52"/>
              <w:keepNext w:val="0"/>
              <w:keepLines w:val="0"/>
              <w:widowControl/>
              <w:suppressLineNumbers w:val="0"/>
              <w:spacing w:before="0" w:beforeAutospacing="0" w:after="0" w:afterAutospacing="0"/>
              <w:ind w:left="0" w:right="0"/>
              <w:rPr>
                <w:rFonts w:hint="default" w:eastAsia="仿宋_GB2312"/>
                <w:color w:val="000000" w:themeColor="text1"/>
                <w:lang w:val="en-US" w:eastAsia="zh-CN"/>
              </w:rPr>
            </w:pPr>
            <w:r>
              <w:rPr>
                <w:rFonts w:hint="eastAsia"/>
                <w:color w:val="000000" w:themeColor="text1"/>
                <w:lang w:val="en-US" w:eastAsia="zh-CN"/>
              </w:rPr>
              <w:t>0.41</w:t>
            </w:r>
          </w:p>
        </w:tc>
        <w:tc>
          <w:tcPr>
            <w:tcW w:w="1092" w:type="dxa"/>
            <w:gridSpan w:val="2"/>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000000" w:themeColor="text1"/>
                <w:sz w:val="20"/>
                <w:szCs w:val="24"/>
              </w:rPr>
            </w:pPr>
          </w:p>
        </w:tc>
        <w:tc>
          <w:tcPr>
            <w:tcW w:w="1238" w:type="dxa"/>
            <w:gridSpan w:val="2"/>
            <w:shd w:val="clear" w:color="000000" w:fill="FFFFFF"/>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000000" w:themeColor="text1"/>
                <w:sz w:val="20"/>
                <w:szCs w:val="24"/>
                <w:lang w:val="en-US" w:eastAsia="zh-CN"/>
              </w:rPr>
            </w:pPr>
            <w:r>
              <w:rPr>
                <w:rFonts w:cs="Times New Roman"/>
                <w:color w:val="000000" w:themeColor="text1"/>
                <w:sz w:val="20"/>
              </w:rPr>
              <w:t>0.</w:t>
            </w:r>
            <w:r>
              <w:rPr>
                <w:rFonts w:hint="eastAsia" w:cs="Times New Roman"/>
                <w:color w:val="000000" w:themeColor="text1"/>
                <w:sz w:val="20"/>
                <w:lang w:val="en-US" w:eastAsia="zh-CN"/>
              </w:rPr>
              <w:t>14</w:t>
            </w:r>
          </w:p>
        </w:tc>
        <w:tc>
          <w:tcPr>
            <w:tcW w:w="1402" w:type="dxa"/>
            <w:gridSpan w:val="2"/>
            <w:vMerge w:val="continue"/>
            <w:shd w:val="clear" w:color="000000" w:fill="FFFFFF"/>
            <w:vAlign w:val="center"/>
          </w:tcPr>
          <w:p>
            <w:pPr>
              <w:pStyle w:val="52"/>
              <w:keepNext w:val="0"/>
              <w:keepLines w:val="0"/>
              <w:widowControl/>
              <w:suppressLineNumbers w:val="0"/>
              <w:spacing w:before="0" w:beforeAutospacing="0" w:after="0" w:afterAutospacing="0"/>
              <w:ind w:left="0" w:right="0"/>
              <w:rPr>
                <w:rFonts w:cs="Times New Roman"/>
                <w:color w:val="000000" w:themeColor="text1"/>
                <w:sz w:val="20"/>
                <w:szCs w:val="24"/>
              </w:rPr>
            </w:pPr>
          </w:p>
        </w:tc>
      </w:tr>
    </w:tbl>
    <w:p>
      <w:pPr>
        <w:pStyle w:val="4"/>
        <w:spacing w:before="120"/>
      </w:pPr>
      <w:r>
        <w:rPr>
          <w:color w:val="000000" w:themeColor="text1"/>
        </w:rPr>
        <w:t>项目投资</w:t>
      </w:r>
      <w:bookmarkEnd w:id="15"/>
    </w:p>
    <w:p>
      <w:pPr>
        <w:spacing w:before="120"/>
        <w:ind w:firstLine="480"/>
        <w:rPr>
          <w:b/>
          <w:bCs/>
        </w:rPr>
      </w:pPr>
      <w:bookmarkStart w:id="16" w:name="_Toc515873297"/>
      <w:r>
        <w:t>本项目工程总投</w:t>
      </w:r>
      <w:r>
        <w:rPr>
          <w:color w:val="000000" w:themeColor="text1"/>
        </w:rPr>
        <w:t>资为</w:t>
      </w:r>
      <w:r>
        <w:rPr>
          <w:rFonts w:hint="eastAsia"/>
          <w:color w:val="000000" w:themeColor="text1"/>
          <w:lang w:val="en-US" w:eastAsia="zh-CN"/>
        </w:rPr>
        <w:t>2218</w:t>
      </w:r>
      <w:r>
        <w:rPr>
          <w:color w:val="000000" w:themeColor="text1"/>
        </w:rPr>
        <w:t>万元，其中土建投资为</w:t>
      </w:r>
      <w:r>
        <w:rPr>
          <w:rFonts w:hint="eastAsia"/>
          <w:color w:val="000000" w:themeColor="text1"/>
          <w:lang w:eastAsia="zh-CN"/>
        </w:rPr>
        <w:t>272</w:t>
      </w:r>
      <w:r>
        <w:rPr>
          <w:color w:val="000000" w:themeColor="text1"/>
        </w:rPr>
        <w:t>万元。</w:t>
      </w:r>
    </w:p>
    <w:bookmarkEnd w:id="16"/>
    <w:p>
      <w:pPr>
        <w:pStyle w:val="4"/>
        <w:spacing w:before="120"/>
        <w:rPr>
          <w:kern w:val="0"/>
        </w:rPr>
      </w:pPr>
      <w:bookmarkStart w:id="17" w:name="_Toc515873298"/>
      <w:r>
        <w:rPr>
          <w:kern w:val="0"/>
        </w:rPr>
        <w:t>项目组成及布置</w:t>
      </w:r>
    </w:p>
    <w:p>
      <w:pPr>
        <w:spacing w:before="120"/>
        <w:ind w:firstLine="360" w:firstLineChars="150"/>
      </w:pPr>
      <w:r>
        <w:rPr>
          <w:rFonts w:hint="eastAsia"/>
        </w:rPr>
        <w:t>本项目主要由</w:t>
      </w:r>
      <w:r>
        <w:rPr>
          <w:rFonts w:hint="eastAsia"/>
          <w:szCs w:val="22"/>
          <w:lang w:eastAsia="zh-CN"/>
        </w:rPr>
        <w:t>柯拉35kV变电站新建工程、柯拉35kV变电站线路新建工程和系统通信工程等3部分组成</w:t>
      </w:r>
      <w:r>
        <w:t>。</w:t>
      </w:r>
    </w:p>
    <w:p>
      <w:pPr>
        <w:pStyle w:val="5"/>
        <w:spacing w:before="120"/>
      </w:pPr>
      <w:r>
        <w:rPr>
          <w:rFonts w:hint="eastAsia"/>
          <w:lang w:eastAsia="zh-CN"/>
        </w:rPr>
        <w:t>柯拉35kV变电站</w:t>
      </w:r>
      <w:r>
        <w:t>新建工程</w:t>
      </w:r>
    </w:p>
    <w:p>
      <w:pPr>
        <w:spacing w:before="120"/>
        <w:ind w:firstLine="480"/>
      </w:pPr>
      <w:r>
        <w:rPr>
          <w:rFonts w:hint="eastAsia"/>
        </w:rPr>
        <w:t>一、</w:t>
      </w:r>
      <w:r>
        <w:t>站址概况</w:t>
      </w:r>
    </w:p>
    <w:p>
      <w:pPr>
        <w:spacing w:before="120"/>
        <w:ind w:firstLine="480"/>
        <w:rPr>
          <w:rFonts w:hint="eastAsia"/>
          <w:szCs w:val="22"/>
          <w:lang w:eastAsia="zh-CN"/>
        </w:rPr>
      </w:pPr>
      <w:r>
        <w:rPr>
          <w:rFonts w:hint="eastAsia"/>
          <w:szCs w:val="22"/>
          <w:lang w:eastAsia="zh-CN"/>
        </w:rPr>
        <w:t>柯拉35kV变电站位于甘孜州雅江县柯拉乡扎渣村折姆组，距离G318国道约42km，距离雅江县城约148km。站址为村上荒地，紧邻扎德路，是连接柯拉乡至德差乡的乡道，为柏油路，进站道路从变电站西侧进入，东侧设置回车场，进站道路与乡道连接。进站道路长约22.5m。站址地表附着物为农草，场地地势较为平坦，站址设计标高为3828.30m。</w:t>
      </w:r>
    </w:p>
    <w:p>
      <w:pPr>
        <w:spacing w:before="120"/>
        <w:ind w:firstLine="480"/>
        <w:rPr>
          <w:rFonts w:hint="eastAsia"/>
          <w:szCs w:val="22"/>
          <w:lang w:eastAsia="zh-CN"/>
        </w:rPr>
      </w:pPr>
      <w:r>
        <w:rPr>
          <w:rFonts w:hint="eastAsia"/>
          <w:szCs w:val="22"/>
          <w:lang w:eastAsia="zh-CN"/>
        </w:rPr>
        <w:t>根据《甘孜雅江柯拉35kV输变电工程选址选线报告》及现场调查情况，站址场内及附近区域地质稳定性较好，无崩塌、滑坡、泥石流、地面沉降等不良地质作用，适合变电站的建设。</w:t>
      </w:r>
    </w:p>
    <w:p>
      <w:pPr>
        <w:spacing w:before="120"/>
        <w:ind w:firstLine="480"/>
        <w:rPr>
          <w:szCs w:val="22"/>
        </w:rPr>
      </w:pPr>
      <w:r>
        <w:rPr>
          <w:rFonts w:hint="eastAsia"/>
          <w:szCs w:val="22"/>
        </w:rPr>
        <w:t>二、建设规模</w:t>
      </w:r>
    </w:p>
    <w:p>
      <w:pPr>
        <w:spacing w:before="120"/>
        <w:ind w:firstLine="480"/>
        <w:rPr>
          <w:szCs w:val="22"/>
        </w:rPr>
      </w:pPr>
      <w:r>
        <w:rPr>
          <w:rFonts w:hint="eastAsia"/>
          <w:szCs w:val="22"/>
        </w:rPr>
        <w:t>主变压器：本期</w:t>
      </w:r>
      <w:r>
        <w:rPr>
          <w:rFonts w:hint="eastAsia"/>
          <w:szCs w:val="22"/>
          <w:vertAlign w:val="superscript"/>
        </w:rPr>
        <w:t xml:space="preserve"> </w:t>
      </w:r>
      <w:r>
        <w:rPr>
          <w:rFonts w:hint="eastAsia"/>
          <w:szCs w:val="22"/>
        </w:rPr>
        <w:t>1×6300kVA，最终</w:t>
      </w:r>
      <w:r>
        <w:rPr>
          <w:rFonts w:hint="eastAsia"/>
          <w:szCs w:val="22"/>
          <w:vertAlign w:val="superscript"/>
        </w:rPr>
        <w:t xml:space="preserve"> </w:t>
      </w:r>
      <w:r>
        <w:rPr>
          <w:rFonts w:hint="eastAsia"/>
          <w:szCs w:val="22"/>
        </w:rPr>
        <w:t>1×6300kVA；</w:t>
      </w:r>
    </w:p>
    <w:p>
      <w:pPr>
        <w:spacing w:before="120"/>
        <w:ind w:firstLine="480"/>
        <w:rPr>
          <w:szCs w:val="22"/>
        </w:rPr>
      </w:pPr>
      <w:r>
        <w:rPr>
          <w:rFonts w:hint="eastAsia"/>
          <w:szCs w:val="22"/>
        </w:rPr>
        <w:t>35kV</w:t>
      </w:r>
      <w:r>
        <w:rPr>
          <w:rFonts w:hint="eastAsia"/>
          <w:szCs w:val="22"/>
          <w:vertAlign w:val="superscript"/>
        </w:rPr>
        <w:t xml:space="preserve"> </w:t>
      </w:r>
      <w:r>
        <w:rPr>
          <w:rFonts w:hint="eastAsia"/>
          <w:szCs w:val="22"/>
        </w:rPr>
        <w:t>部分：本期出线</w:t>
      </w:r>
      <w:r>
        <w:rPr>
          <w:rFonts w:hint="eastAsia"/>
          <w:szCs w:val="22"/>
          <w:vertAlign w:val="superscript"/>
        </w:rPr>
        <w:t xml:space="preserve"> </w:t>
      </w:r>
      <w:r>
        <w:rPr>
          <w:rFonts w:hint="eastAsia"/>
          <w:szCs w:val="22"/>
          <w:lang w:val="en-US" w:eastAsia="zh-CN"/>
        </w:rPr>
        <w:t>2</w:t>
      </w:r>
      <w:r>
        <w:rPr>
          <w:rFonts w:hint="eastAsia"/>
          <w:szCs w:val="22"/>
        </w:rPr>
        <w:t>回，最终出线</w:t>
      </w:r>
      <w:r>
        <w:rPr>
          <w:rFonts w:hint="eastAsia"/>
          <w:szCs w:val="22"/>
          <w:vertAlign w:val="superscript"/>
        </w:rPr>
        <w:t xml:space="preserve"> </w:t>
      </w:r>
      <w:r>
        <w:rPr>
          <w:rFonts w:hint="eastAsia"/>
          <w:szCs w:val="22"/>
        </w:rPr>
        <w:t>2</w:t>
      </w:r>
      <w:r>
        <w:rPr>
          <w:rFonts w:hint="eastAsia"/>
          <w:szCs w:val="22"/>
          <w:vertAlign w:val="superscript"/>
        </w:rPr>
        <w:t xml:space="preserve"> </w:t>
      </w:r>
      <w:r>
        <w:rPr>
          <w:rFonts w:hint="eastAsia"/>
          <w:szCs w:val="22"/>
        </w:rPr>
        <w:t>回；</w:t>
      </w:r>
    </w:p>
    <w:p>
      <w:pPr>
        <w:spacing w:before="120"/>
        <w:ind w:firstLine="480"/>
        <w:rPr>
          <w:szCs w:val="22"/>
        </w:rPr>
      </w:pPr>
      <w:r>
        <w:rPr>
          <w:rFonts w:hint="eastAsia"/>
          <w:szCs w:val="22"/>
        </w:rPr>
        <w:t>10kV</w:t>
      </w:r>
      <w:r>
        <w:rPr>
          <w:rFonts w:hint="eastAsia"/>
          <w:szCs w:val="22"/>
          <w:vertAlign w:val="superscript"/>
        </w:rPr>
        <w:t xml:space="preserve"> </w:t>
      </w:r>
      <w:r>
        <w:rPr>
          <w:rFonts w:hint="eastAsia"/>
          <w:szCs w:val="22"/>
        </w:rPr>
        <w:t>部分：本期</w:t>
      </w:r>
      <w:r>
        <w:rPr>
          <w:rFonts w:hint="eastAsia"/>
          <w:szCs w:val="22"/>
          <w:vertAlign w:val="superscript"/>
        </w:rPr>
        <w:t xml:space="preserve"> </w:t>
      </w:r>
      <w:r>
        <w:rPr>
          <w:rFonts w:hint="eastAsia"/>
          <w:szCs w:val="22"/>
        </w:rPr>
        <w:t>出线4</w:t>
      </w:r>
      <w:r>
        <w:rPr>
          <w:rFonts w:hint="eastAsia"/>
          <w:szCs w:val="22"/>
          <w:vertAlign w:val="superscript"/>
        </w:rPr>
        <w:t xml:space="preserve"> </w:t>
      </w:r>
      <w:r>
        <w:rPr>
          <w:rFonts w:hint="eastAsia"/>
          <w:szCs w:val="22"/>
        </w:rPr>
        <w:t>回，最终出线4回；</w:t>
      </w:r>
    </w:p>
    <w:p>
      <w:pPr>
        <w:spacing w:before="120"/>
        <w:ind w:firstLine="480"/>
        <w:rPr>
          <w:szCs w:val="22"/>
        </w:rPr>
      </w:pPr>
      <w:r>
        <w:rPr>
          <w:rFonts w:hint="eastAsia"/>
          <w:szCs w:val="22"/>
        </w:rPr>
        <w:t>10kv无功补偿：本期</w:t>
      </w:r>
      <w:r>
        <w:rPr>
          <w:rFonts w:hint="eastAsia"/>
          <w:szCs w:val="22"/>
          <w:vertAlign w:val="superscript"/>
        </w:rPr>
        <w:t xml:space="preserve"> </w:t>
      </w:r>
      <w:r>
        <w:rPr>
          <w:rFonts w:hint="eastAsia"/>
          <w:szCs w:val="22"/>
        </w:rPr>
        <w:t>1×1002kvar，最终</w:t>
      </w:r>
      <w:r>
        <w:rPr>
          <w:rFonts w:hint="eastAsia"/>
          <w:szCs w:val="22"/>
          <w:vertAlign w:val="superscript"/>
        </w:rPr>
        <w:t xml:space="preserve"> </w:t>
      </w:r>
      <w:r>
        <w:rPr>
          <w:rFonts w:hint="eastAsia"/>
          <w:szCs w:val="22"/>
        </w:rPr>
        <w:t>1×1002kvar。</w:t>
      </w:r>
    </w:p>
    <w:p>
      <w:pPr>
        <w:spacing w:before="120"/>
        <w:ind w:firstLine="480"/>
        <w:rPr>
          <w:szCs w:val="22"/>
        </w:rPr>
      </w:pPr>
      <w:r>
        <w:rPr>
          <w:rFonts w:hint="eastAsia"/>
          <w:szCs w:val="22"/>
        </w:rPr>
        <w:t>三、总平面布置</w:t>
      </w:r>
    </w:p>
    <w:p>
      <w:pPr>
        <w:spacing w:before="120"/>
        <w:ind w:firstLine="480"/>
        <w:rPr>
          <w:rFonts w:hint="eastAsia"/>
          <w:szCs w:val="22"/>
        </w:rPr>
      </w:pPr>
      <w:r>
        <w:rPr>
          <w:rFonts w:hint="eastAsia"/>
          <w:szCs w:val="22"/>
        </w:rPr>
        <w:t>本工程主要参照《国家电网公司输变电工程通用设计》，并结合变电站站址</w:t>
      </w:r>
      <w:r>
        <w:rPr>
          <w:rFonts w:hint="eastAsia"/>
          <w:szCs w:val="22"/>
          <w:vertAlign w:val="superscript"/>
        </w:rPr>
        <w:t xml:space="preserve"> </w:t>
      </w:r>
      <w:r>
        <w:rPr>
          <w:rFonts w:hint="eastAsia"/>
          <w:szCs w:val="22"/>
        </w:rPr>
        <w:t>的地形、地貌、进站道路及主要配电装置进出线方向等因素，本站总平面布置为</w:t>
      </w:r>
      <w:r>
        <w:rPr>
          <w:rFonts w:hint="eastAsia"/>
          <w:szCs w:val="22"/>
          <w:vertAlign w:val="superscript"/>
        </w:rPr>
        <w:t xml:space="preserve"> </w:t>
      </w:r>
      <w:r>
        <w:rPr>
          <w:rFonts w:hint="eastAsia"/>
          <w:szCs w:val="22"/>
        </w:rPr>
        <w:t>“平面布置”型式，平面为矩形，</w:t>
      </w:r>
      <w:r>
        <w:rPr>
          <w:rFonts w:hint="eastAsia"/>
          <w:szCs w:val="22"/>
          <w:vertAlign w:val="superscript"/>
        </w:rPr>
        <w:t xml:space="preserve"> </w:t>
      </w:r>
      <w:r>
        <w:rPr>
          <w:rFonts w:hint="eastAsia"/>
          <w:szCs w:val="22"/>
        </w:rPr>
        <w:t>其内部具体布置如下：</w:t>
      </w:r>
    </w:p>
    <w:p>
      <w:pPr>
        <w:spacing w:before="120"/>
        <w:ind w:firstLine="480"/>
        <w:rPr>
          <w:rFonts w:hint="eastAsia"/>
          <w:szCs w:val="22"/>
        </w:rPr>
      </w:pPr>
      <w:r>
        <w:rPr>
          <w:rFonts w:hint="eastAsia"/>
          <w:szCs w:val="22"/>
        </w:rPr>
        <w:t>变电站南北向宽16.5m，东西向长32.4m，站址围墙内占地面积0.06hm</w:t>
      </w:r>
      <w:r>
        <w:rPr>
          <w:rFonts w:hint="eastAsia"/>
          <w:szCs w:val="22"/>
          <w:vertAlign w:val="superscript"/>
        </w:rPr>
        <w:t>2</w:t>
      </w:r>
      <w:r>
        <w:rPr>
          <w:rFonts w:hint="eastAsia"/>
          <w:szCs w:val="22"/>
        </w:rPr>
        <w:t>，站址用地面积0.13hm</w:t>
      </w:r>
      <w:r>
        <w:rPr>
          <w:rFonts w:hint="eastAsia"/>
          <w:szCs w:val="22"/>
          <w:vertAlign w:val="superscript"/>
        </w:rPr>
        <w:t>2</w:t>
      </w:r>
      <w:r>
        <w:rPr>
          <w:rFonts w:hint="eastAsia"/>
          <w:szCs w:val="22"/>
        </w:rPr>
        <w:t>。35kV、10kV、二次设备电气设备预制仓、无功补偿装置布置在站区北侧；资料室、安全工具室、卫生间布置在站区南侧。主变压器基础尺寸为6.0m×6.5m，共设1座，布置在站区北侧。消防设施布置在主变附近。变电站内道路采用郊区型混凝土道路。根据生产运行的需要，站内配电装置场地等空地上铺100mm 厚碎石，三七灰土，不设操作地坪。为保证安全生产及便于管理，变电站采用实体围墙与外界环境隔离。围墙对站外高2.3m，采用砖砌实体围墙，砂浆饰面。此外，站内还布置有事故油池。在站内布置独立钢管避雷针（25m）一座。变电站进站道路从南侧的扎德路接入，进站道路采用路面宽4m的混凝土道路，进站道路长22.5m，转弯半径为9m。站区东南侧设12×17m回车场，以满足设备运输及消防要求。站址东侧设12×17m回车场，采用围栏与外界隔离。</w:t>
      </w:r>
    </w:p>
    <w:p>
      <w:pPr>
        <w:pStyle w:val="16"/>
      </w:pPr>
      <w:r>
        <w:t>主要技术经济指标表</w:t>
      </w:r>
    </w:p>
    <w:p>
      <w:pPr>
        <w:pStyle w:val="13"/>
      </w:pPr>
      <w:r>
        <w:rPr>
          <w:rFonts w:hint="eastAsia"/>
        </w:rPr>
        <w:t>表</w:t>
      </w:r>
      <w:r>
        <w:rPr>
          <w:rFonts w:hint="eastAsia"/>
          <w:vertAlign w:val="superscript"/>
        </w:rPr>
        <w:t xml:space="preserve"> </w:t>
      </w:r>
      <w:r>
        <w:fldChar w:fldCharType="begin"/>
      </w:r>
      <w:r>
        <w:instrText xml:space="preserve"> </w:instrText>
      </w:r>
      <w:r>
        <w:rPr>
          <w:rFonts w:hint="eastAsia"/>
        </w:rPr>
        <w:instrText xml:space="preserve">STYLEREF 2 \s</w:instrText>
      </w:r>
      <w:r>
        <w:instrText xml:space="preserve"> </w:instrText>
      </w:r>
      <w:r>
        <w:fldChar w:fldCharType="separate"/>
      </w:r>
      <w:r>
        <w:t>1.1</w:t>
      </w:r>
      <w:r>
        <w:fldChar w:fldCharType="end"/>
      </w:r>
      <w:r>
        <w:noBreakHyphen/>
      </w:r>
      <w:r>
        <w:fldChar w:fldCharType="begin"/>
      </w:r>
      <w:r>
        <w:instrText xml:space="preserve"> </w:instrText>
      </w:r>
      <w:r>
        <w:rPr>
          <w:rFonts w:hint="eastAsia"/>
        </w:rPr>
        <w:instrText xml:space="preserve">SEQ 表 \* ARABIC \s 2</w:instrText>
      </w:r>
      <w:r>
        <w:instrText xml:space="preserve"> </w:instrText>
      </w:r>
      <w:r>
        <w:fldChar w:fldCharType="separate"/>
      </w:r>
      <w:r>
        <w:t>3</w:t>
      </w:r>
      <w:r>
        <w:fldChar w:fldCharType="end"/>
      </w:r>
    </w:p>
    <w:tbl>
      <w:tblPr>
        <w:tblStyle w:val="32"/>
        <w:tblW w:w="8328" w:type="dxa"/>
        <w:tblInd w:w="0" w:type="dxa"/>
        <w:tblLayout w:type="fixed"/>
        <w:tblCellMar>
          <w:top w:w="0" w:type="dxa"/>
          <w:left w:w="11" w:type="dxa"/>
          <w:bottom w:w="0" w:type="dxa"/>
          <w:right w:w="11" w:type="dxa"/>
        </w:tblCellMar>
      </w:tblPr>
      <w:tblGrid>
        <w:gridCol w:w="669"/>
        <w:gridCol w:w="2802"/>
        <w:gridCol w:w="793"/>
        <w:gridCol w:w="670"/>
        <w:gridCol w:w="3394"/>
      </w:tblGrid>
      <w:tr>
        <w:tblPrEx>
          <w:tblCellMar>
            <w:top w:w="0" w:type="dxa"/>
            <w:left w:w="11" w:type="dxa"/>
            <w:bottom w:w="0" w:type="dxa"/>
            <w:right w:w="11" w:type="dxa"/>
          </w:tblCellMar>
        </w:tblPrEx>
        <w:trPr>
          <w:trHeight w:val="340" w:hRule="atLeast"/>
        </w:trPr>
        <w:tc>
          <w:tcPr>
            <w:tcW w:w="6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序号</w:t>
            </w:r>
          </w:p>
        </w:tc>
        <w:tc>
          <w:tcPr>
            <w:tcW w:w="280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项目</w:t>
            </w:r>
          </w:p>
        </w:tc>
        <w:tc>
          <w:tcPr>
            <w:tcW w:w="79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单位</w:t>
            </w:r>
          </w:p>
        </w:tc>
        <w:tc>
          <w:tcPr>
            <w:tcW w:w="67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数量</w:t>
            </w:r>
          </w:p>
        </w:tc>
        <w:tc>
          <w:tcPr>
            <w:tcW w:w="339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备</w:t>
            </w:r>
            <w:r>
              <w:rPr>
                <w:rFonts w:hint="eastAsia"/>
                <w:kern w:val="0"/>
                <w:sz w:val="20"/>
                <w:szCs w:val="18"/>
                <w:vertAlign w:val="superscript"/>
              </w:rPr>
              <w:t xml:space="preserve">   </w:t>
            </w:r>
            <w:r>
              <w:rPr>
                <w:rFonts w:hint="eastAsia"/>
                <w:kern w:val="0"/>
                <w:sz w:val="20"/>
                <w:szCs w:val="18"/>
              </w:rPr>
              <w:t>注</w:t>
            </w:r>
          </w:p>
        </w:tc>
      </w:tr>
      <w:tr>
        <w:tblPrEx>
          <w:tblCellMar>
            <w:top w:w="0" w:type="dxa"/>
            <w:left w:w="11" w:type="dxa"/>
            <w:bottom w:w="0" w:type="dxa"/>
            <w:right w:w="11" w:type="dxa"/>
          </w:tblCellMar>
        </w:tblPrEx>
        <w:trPr>
          <w:trHeight w:val="34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1</w:t>
            </w:r>
          </w:p>
        </w:tc>
        <w:tc>
          <w:tcPr>
            <w:tcW w:w="280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站址总占地面积</w:t>
            </w:r>
          </w:p>
        </w:tc>
        <w:tc>
          <w:tcPr>
            <w:tcW w:w="79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hm</w:t>
            </w:r>
            <w:r>
              <w:rPr>
                <w:rFonts w:hint="eastAsia"/>
                <w:kern w:val="0"/>
                <w:sz w:val="20"/>
                <w:szCs w:val="18"/>
                <w:vertAlign w:val="superscript"/>
              </w:rPr>
              <w:t>2</w:t>
            </w:r>
          </w:p>
        </w:tc>
        <w:tc>
          <w:tcPr>
            <w:tcW w:w="6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eastAsia" w:eastAsia="仿宋_GB2312"/>
                <w:kern w:val="0"/>
                <w:sz w:val="20"/>
                <w:szCs w:val="18"/>
                <w:lang w:val="en-US" w:eastAsia="zh-CN"/>
              </w:rPr>
            </w:pPr>
            <w:r>
              <w:rPr>
                <w:rFonts w:hint="eastAsia"/>
                <w:kern w:val="0"/>
                <w:sz w:val="20"/>
                <w:szCs w:val="18"/>
              </w:rPr>
              <w:t>0.1</w:t>
            </w:r>
            <w:r>
              <w:rPr>
                <w:rFonts w:hint="eastAsia"/>
                <w:kern w:val="0"/>
                <w:sz w:val="20"/>
                <w:szCs w:val="18"/>
                <w:lang w:val="en-US" w:eastAsia="zh-CN"/>
              </w:rPr>
              <w:t>3</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rPr>
            </w:pPr>
            <w:r>
              <w:rPr>
                <w:kern w:val="0"/>
                <w:sz w:val="20"/>
              </w:rPr>
              <w:t>　</w:t>
            </w:r>
          </w:p>
        </w:tc>
      </w:tr>
      <w:tr>
        <w:tblPrEx>
          <w:tblCellMar>
            <w:top w:w="0" w:type="dxa"/>
            <w:left w:w="11" w:type="dxa"/>
            <w:bottom w:w="0" w:type="dxa"/>
            <w:right w:w="11" w:type="dxa"/>
          </w:tblCellMar>
        </w:tblPrEx>
        <w:trPr>
          <w:trHeight w:val="34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1)</w:t>
            </w:r>
          </w:p>
        </w:tc>
        <w:tc>
          <w:tcPr>
            <w:tcW w:w="280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站区围墙内占地面积</w:t>
            </w:r>
          </w:p>
        </w:tc>
        <w:tc>
          <w:tcPr>
            <w:tcW w:w="79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hm</w:t>
            </w:r>
            <w:r>
              <w:rPr>
                <w:rFonts w:hint="eastAsia"/>
                <w:kern w:val="0"/>
                <w:sz w:val="20"/>
                <w:szCs w:val="18"/>
                <w:vertAlign w:val="superscript"/>
              </w:rPr>
              <w:t>2</w:t>
            </w:r>
          </w:p>
        </w:tc>
        <w:tc>
          <w:tcPr>
            <w:tcW w:w="6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0.06</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rPr>
            </w:pPr>
            <w:r>
              <w:rPr>
                <w:kern w:val="0"/>
                <w:sz w:val="20"/>
              </w:rPr>
              <w:t>　</w:t>
            </w:r>
          </w:p>
        </w:tc>
      </w:tr>
      <w:tr>
        <w:tblPrEx>
          <w:tblCellMar>
            <w:top w:w="0" w:type="dxa"/>
            <w:left w:w="11" w:type="dxa"/>
            <w:bottom w:w="0" w:type="dxa"/>
            <w:right w:w="11" w:type="dxa"/>
          </w:tblCellMar>
        </w:tblPrEx>
        <w:trPr>
          <w:trHeight w:val="34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2)</w:t>
            </w:r>
          </w:p>
        </w:tc>
        <w:tc>
          <w:tcPr>
            <w:tcW w:w="280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围墙外</w:t>
            </w:r>
            <w:r>
              <w:rPr>
                <w:rFonts w:hint="eastAsia"/>
                <w:kern w:val="0"/>
                <w:sz w:val="20"/>
                <w:szCs w:val="18"/>
                <w:lang w:val="en-US" w:eastAsia="zh-CN"/>
              </w:rPr>
              <w:t>挡墙和</w:t>
            </w:r>
            <w:r>
              <w:rPr>
                <w:rFonts w:hint="eastAsia"/>
                <w:kern w:val="0"/>
                <w:sz w:val="20"/>
                <w:szCs w:val="18"/>
              </w:rPr>
              <w:t>排水设施</w:t>
            </w:r>
          </w:p>
        </w:tc>
        <w:tc>
          <w:tcPr>
            <w:tcW w:w="79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hm</w:t>
            </w:r>
            <w:r>
              <w:rPr>
                <w:rFonts w:hint="eastAsia"/>
                <w:kern w:val="0"/>
                <w:sz w:val="20"/>
                <w:szCs w:val="18"/>
                <w:vertAlign w:val="superscript"/>
              </w:rPr>
              <w:t>2</w:t>
            </w:r>
          </w:p>
        </w:tc>
        <w:tc>
          <w:tcPr>
            <w:tcW w:w="6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eastAsia" w:eastAsia="仿宋_GB2312"/>
                <w:kern w:val="0"/>
                <w:sz w:val="20"/>
                <w:szCs w:val="18"/>
                <w:lang w:eastAsia="zh-CN"/>
              </w:rPr>
            </w:pPr>
            <w:r>
              <w:rPr>
                <w:rFonts w:hint="eastAsia"/>
                <w:kern w:val="0"/>
                <w:sz w:val="20"/>
                <w:szCs w:val="18"/>
              </w:rPr>
              <w:t>0.0</w:t>
            </w:r>
            <w:r>
              <w:rPr>
                <w:rFonts w:hint="eastAsia"/>
                <w:kern w:val="0"/>
                <w:sz w:val="20"/>
                <w:szCs w:val="18"/>
                <w:lang w:val="en-US" w:eastAsia="zh-CN"/>
              </w:rPr>
              <w:t>4</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rPr>
            </w:pPr>
            <w:r>
              <w:rPr>
                <w:kern w:val="0"/>
                <w:sz w:val="20"/>
              </w:rPr>
              <w:t>　</w:t>
            </w:r>
          </w:p>
        </w:tc>
      </w:tr>
      <w:tr>
        <w:tblPrEx>
          <w:tblCellMar>
            <w:top w:w="0" w:type="dxa"/>
            <w:left w:w="11" w:type="dxa"/>
            <w:bottom w:w="0" w:type="dxa"/>
            <w:right w:w="11" w:type="dxa"/>
          </w:tblCellMar>
        </w:tblPrEx>
        <w:trPr>
          <w:trHeight w:val="34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3)</w:t>
            </w:r>
          </w:p>
        </w:tc>
        <w:tc>
          <w:tcPr>
            <w:tcW w:w="280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进站道路占地面积</w:t>
            </w:r>
          </w:p>
        </w:tc>
        <w:tc>
          <w:tcPr>
            <w:tcW w:w="79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hm</w:t>
            </w:r>
            <w:r>
              <w:rPr>
                <w:rFonts w:hint="eastAsia"/>
                <w:kern w:val="0"/>
                <w:sz w:val="20"/>
                <w:szCs w:val="18"/>
                <w:vertAlign w:val="superscript"/>
              </w:rPr>
              <w:t>2</w:t>
            </w:r>
          </w:p>
        </w:tc>
        <w:tc>
          <w:tcPr>
            <w:tcW w:w="6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eastAsia" w:eastAsia="仿宋_GB2312"/>
                <w:kern w:val="0"/>
                <w:sz w:val="20"/>
                <w:szCs w:val="18"/>
                <w:lang w:val="en-US" w:eastAsia="zh-CN"/>
              </w:rPr>
            </w:pPr>
            <w:r>
              <w:rPr>
                <w:rFonts w:hint="eastAsia"/>
                <w:kern w:val="0"/>
                <w:sz w:val="20"/>
                <w:szCs w:val="18"/>
              </w:rPr>
              <w:t>0.0</w:t>
            </w:r>
            <w:r>
              <w:rPr>
                <w:rFonts w:hint="eastAsia"/>
                <w:kern w:val="0"/>
                <w:sz w:val="20"/>
                <w:szCs w:val="18"/>
                <w:lang w:val="en-US" w:eastAsia="zh-CN"/>
              </w:rPr>
              <w:t>3</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0"/>
                <w:szCs w:val="18"/>
                <w:lang w:val="en-US" w:eastAsia="zh-CN"/>
              </w:rPr>
            </w:pPr>
            <w:r>
              <w:rPr>
                <w:rFonts w:hint="eastAsia"/>
                <w:kern w:val="0"/>
                <w:sz w:val="20"/>
                <w:szCs w:val="18"/>
                <w:lang w:val="en-US" w:eastAsia="zh-CN"/>
              </w:rPr>
              <w:t>长22.5m，宽4m</w:t>
            </w:r>
          </w:p>
        </w:tc>
      </w:tr>
      <w:tr>
        <w:tblPrEx>
          <w:tblCellMar>
            <w:top w:w="0" w:type="dxa"/>
            <w:left w:w="11" w:type="dxa"/>
            <w:bottom w:w="0" w:type="dxa"/>
            <w:right w:w="11" w:type="dxa"/>
          </w:tblCellMar>
        </w:tblPrEx>
        <w:trPr>
          <w:trHeight w:val="340" w:hRule="atLeast"/>
        </w:trPr>
        <w:tc>
          <w:tcPr>
            <w:tcW w:w="669" w:type="dxa"/>
            <w:tcBorders>
              <w:top w:val="nil"/>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2</w:t>
            </w:r>
          </w:p>
        </w:tc>
        <w:tc>
          <w:tcPr>
            <w:tcW w:w="280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站内电缆沟长度</w:t>
            </w:r>
          </w:p>
        </w:tc>
        <w:tc>
          <w:tcPr>
            <w:tcW w:w="79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m</w:t>
            </w:r>
          </w:p>
        </w:tc>
        <w:tc>
          <w:tcPr>
            <w:tcW w:w="6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0"/>
                <w:szCs w:val="18"/>
                <w:lang w:val="en-US" w:eastAsia="zh-CN"/>
              </w:rPr>
            </w:pPr>
            <w:r>
              <w:rPr>
                <w:rFonts w:hint="eastAsia"/>
                <w:kern w:val="0"/>
                <w:sz w:val="20"/>
                <w:szCs w:val="18"/>
                <w:lang w:val="en-US" w:eastAsia="zh-CN"/>
              </w:rPr>
              <w:t>44</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800×800</w:t>
            </w:r>
            <w:r>
              <w:rPr>
                <w:rFonts w:hint="eastAsia"/>
                <w:kern w:val="0"/>
                <w:sz w:val="20"/>
                <w:szCs w:val="18"/>
                <w:vertAlign w:val="superscript"/>
              </w:rPr>
              <w:t xml:space="preserve"> </w:t>
            </w:r>
            <w:r>
              <w:rPr>
                <w:rFonts w:hint="eastAsia"/>
                <w:kern w:val="0"/>
                <w:sz w:val="20"/>
                <w:szCs w:val="18"/>
              </w:rPr>
              <w:t>以上</w:t>
            </w:r>
          </w:p>
        </w:tc>
      </w:tr>
      <w:tr>
        <w:tblPrEx>
          <w:tblCellMar>
            <w:top w:w="0" w:type="dxa"/>
            <w:left w:w="11" w:type="dxa"/>
            <w:bottom w:w="0" w:type="dxa"/>
            <w:right w:w="11" w:type="dxa"/>
          </w:tblCellMar>
        </w:tblPrEx>
        <w:trPr>
          <w:trHeight w:val="34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3</w:t>
            </w:r>
          </w:p>
        </w:tc>
        <w:tc>
          <w:tcPr>
            <w:tcW w:w="280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建筑面积</w:t>
            </w:r>
          </w:p>
        </w:tc>
        <w:tc>
          <w:tcPr>
            <w:tcW w:w="79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m</w:t>
            </w:r>
            <w:r>
              <w:rPr>
                <w:rFonts w:hint="eastAsia"/>
                <w:kern w:val="0"/>
                <w:sz w:val="20"/>
                <w:szCs w:val="18"/>
                <w:vertAlign w:val="superscript"/>
              </w:rPr>
              <w:t>2</w:t>
            </w:r>
          </w:p>
        </w:tc>
        <w:tc>
          <w:tcPr>
            <w:tcW w:w="6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0"/>
                <w:szCs w:val="18"/>
                <w:lang w:val="en-US" w:eastAsia="zh-CN"/>
              </w:rPr>
            </w:pPr>
            <w:r>
              <w:rPr>
                <w:rFonts w:hint="eastAsia"/>
                <w:kern w:val="0"/>
                <w:sz w:val="20"/>
                <w:szCs w:val="18"/>
                <w:lang w:val="en-US" w:eastAsia="zh-CN"/>
              </w:rPr>
              <w:t>248</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rPr>
            </w:pPr>
            <w:r>
              <w:rPr>
                <w:kern w:val="0"/>
                <w:sz w:val="20"/>
              </w:rPr>
              <w:t>　</w:t>
            </w:r>
          </w:p>
        </w:tc>
      </w:tr>
      <w:tr>
        <w:tblPrEx>
          <w:tblCellMar>
            <w:top w:w="0" w:type="dxa"/>
            <w:left w:w="11" w:type="dxa"/>
            <w:bottom w:w="0" w:type="dxa"/>
            <w:right w:w="11" w:type="dxa"/>
          </w:tblCellMar>
        </w:tblPrEx>
        <w:trPr>
          <w:trHeight w:val="34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4</w:t>
            </w:r>
          </w:p>
        </w:tc>
        <w:tc>
          <w:tcPr>
            <w:tcW w:w="280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站内道路面积</w:t>
            </w:r>
          </w:p>
        </w:tc>
        <w:tc>
          <w:tcPr>
            <w:tcW w:w="79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m</w:t>
            </w:r>
            <w:r>
              <w:rPr>
                <w:rFonts w:hint="eastAsia"/>
                <w:kern w:val="0"/>
                <w:sz w:val="20"/>
                <w:szCs w:val="18"/>
                <w:vertAlign w:val="superscript"/>
              </w:rPr>
              <w:t>2</w:t>
            </w:r>
          </w:p>
        </w:tc>
        <w:tc>
          <w:tcPr>
            <w:tcW w:w="6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0"/>
                <w:szCs w:val="18"/>
                <w:lang w:val="en-US" w:eastAsia="zh-CN"/>
              </w:rPr>
            </w:pPr>
            <w:r>
              <w:rPr>
                <w:rFonts w:hint="eastAsia"/>
                <w:kern w:val="0"/>
                <w:sz w:val="20"/>
                <w:szCs w:val="18"/>
              </w:rPr>
              <w:t>1</w:t>
            </w:r>
            <w:r>
              <w:rPr>
                <w:rFonts w:hint="eastAsia"/>
                <w:kern w:val="0"/>
                <w:sz w:val="20"/>
                <w:szCs w:val="18"/>
                <w:lang w:val="en-US" w:eastAsia="zh-CN"/>
              </w:rPr>
              <w:t>29.6</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rPr>
            </w:pPr>
            <w:r>
              <w:rPr>
                <w:kern w:val="0"/>
                <w:sz w:val="20"/>
              </w:rPr>
              <w:t>　</w:t>
            </w:r>
          </w:p>
        </w:tc>
      </w:tr>
      <w:tr>
        <w:tblPrEx>
          <w:tblCellMar>
            <w:top w:w="0" w:type="dxa"/>
            <w:left w:w="11" w:type="dxa"/>
            <w:bottom w:w="0" w:type="dxa"/>
            <w:right w:w="11" w:type="dxa"/>
          </w:tblCellMar>
        </w:tblPrEx>
        <w:trPr>
          <w:trHeight w:val="34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5</w:t>
            </w:r>
          </w:p>
        </w:tc>
        <w:tc>
          <w:tcPr>
            <w:tcW w:w="280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站区挡土墙</w:t>
            </w:r>
          </w:p>
        </w:tc>
        <w:tc>
          <w:tcPr>
            <w:tcW w:w="79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m</w:t>
            </w:r>
            <w:r>
              <w:rPr>
                <w:rFonts w:hint="eastAsia"/>
                <w:kern w:val="0"/>
                <w:sz w:val="20"/>
                <w:szCs w:val="18"/>
                <w:vertAlign w:val="superscript"/>
              </w:rPr>
              <w:t>3</w:t>
            </w:r>
          </w:p>
        </w:tc>
        <w:tc>
          <w:tcPr>
            <w:tcW w:w="6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0"/>
                <w:szCs w:val="18"/>
                <w:lang w:val="en-US" w:eastAsia="zh-CN"/>
              </w:rPr>
            </w:pPr>
            <w:r>
              <w:rPr>
                <w:rFonts w:hint="eastAsia"/>
                <w:kern w:val="0"/>
                <w:sz w:val="20"/>
                <w:szCs w:val="18"/>
                <w:lang w:val="en-US" w:eastAsia="zh-CN"/>
              </w:rPr>
              <w:t>303</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rPr>
            </w:pPr>
            <w:r>
              <w:rPr>
                <w:kern w:val="0"/>
                <w:sz w:val="20"/>
              </w:rPr>
              <w:t>　</w:t>
            </w:r>
          </w:p>
        </w:tc>
      </w:tr>
      <w:tr>
        <w:tblPrEx>
          <w:tblCellMar>
            <w:top w:w="0" w:type="dxa"/>
            <w:left w:w="11" w:type="dxa"/>
            <w:bottom w:w="0" w:type="dxa"/>
            <w:right w:w="11" w:type="dxa"/>
          </w:tblCellMar>
        </w:tblPrEx>
        <w:trPr>
          <w:trHeight w:val="34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6</w:t>
            </w:r>
          </w:p>
        </w:tc>
        <w:tc>
          <w:tcPr>
            <w:tcW w:w="280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0"/>
                <w:szCs w:val="18"/>
                <w:lang w:val="en-US" w:eastAsia="zh-CN"/>
              </w:rPr>
            </w:pPr>
            <w:r>
              <w:rPr>
                <w:rFonts w:hint="eastAsia"/>
                <w:kern w:val="0"/>
                <w:sz w:val="20"/>
                <w:szCs w:val="18"/>
                <w:lang w:val="en-US" w:eastAsia="zh-CN"/>
              </w:rPr>
              <w:t>站内排水管</w:t>
            </w:r>
          </w:p>
        </w:tc>
        <w:tc>
          <w:tcPr>
            <w:tcW w:w="79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m</w:t>
            </w:r>
            <w:r>
              <w:rPr>
                <w:rFonts w:hint="eastAsia"/>
                <w:kern w:val="0"/>
                <w:sz w:val="20"/>
                <w:szCs w:val="18"/>
                <w:vertAlign w:val="superscript"/>
              </w:rPr>
              <w:t>3</w:t>
            </w:r>
          </w:p>
        </w:tc>
        <w:tc>
          <w:tcPr>
            <w:tcW w:w="6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0"/>
                <w:szCs w:val="18"/>
                <w:lang w:val="en-US" w:eastAsia="zh-CN"/>
              </w:rPr>
            </w:pPr>
            <w:r>
              <w:rPr>
                <w:rFonts w:hint="eastAsia"/>
                <w:kern w:val="0"/>
                <w:sz w:val="20"/>
                <w:szCs w:val="18"/>
                <w:lang w:val="en-US" w:eastAsia="zh-CN"/>
              </w:rPr>
              <w:t>100</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p>
        </w:tc>
      </w:tr>
      <w:tr>
        <w:tblPrEx>
          <w:tblCellMar>
            <w:top w:w="0" w:type="dxa"/>
            <w:left w:w="11" w:type="dxa"/>
            <w:bottom w:w="0" w:type="dxa"/>
            <w:right w:w="11" w:type="dxa"/>
          </w:tblCellMar>
        </w:tblPrEx>
        <w:trPr>
          <w:trHeight w:val="34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7</w:t>
            </w:r>
          </w:p>
        </w:tc>
        <w:tc>
          <w:tcPr>
            <w:tcW w:w="280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站区围墙长度</w:t>
            </w:r>
          </w:p>
        </w:tc>
        <w:tc>
          <w:tcPr>
            <w:tcW w:w="79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m</w:t>
            </w:r>
          </w:p>
        </w:tc>
        <w:tc>
          <w:tcPr>
            <w:tcW w:w="6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0"/>
                <w:szCs w:val="18"/>
                <w:lang w:val="en-US" w:eastAsia="zh-CN"/>
              </w:rPr>
            </w:pPr>
            <w:r>
              <w:rPr>
                <w:rFonts w:hint="eastAsia"/>
                <w:kern w:val="0"/>
                <w:sz w:val="20"/>
                <w:szCs w:val="18"/>
                <w:lang w:val="en-US" w:eastAsia="zh-CN"/>
              </w:rPr>
              <w:t>98</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墙高</w:t>
            </w:r>
            <w:r>
              <w:rPr>
                <w:rFonts w:hint="eastAsia"/>
                <w:kern w:val="0"/>
                <w:sz w:val="20"/>
                <w:szCs w:val="18"/>
                <w:vertAlign w:val="superscript"/>
              </w:rPr>
              <w:t xml:space="preserve"> </w:t>
            </w:r>
            <w:r>
              <w:rPr>
                <w:rFonts w:hint="eastAsia"/>
                <w:kern w:val="0"/>
                <w:sz w:val="20"/>
                <w:szCs w:val="18"/>
              </w:rPr>
              <w:t>2.3m</w:t>
            </w:r>
          </w:p>
        </w:tc>
      </w:tr>
      <w:tr>
        <w:tblPrEx>
          <w:tblCellMar>
            <w:top w:w="0" w:type="dxa"/>
            <w:left w:w="11" w:type="dxa"/>
            <w:bottom w:w="0" w:type="dxa"/>
            <w:right w:w="11" w:type="dxa"/>
          </w:tblCellMar>
        </w:tblPrEx>
        <w:trPr>
          <w:trHeight w:val="34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8</w:t>
            </w:r>
          </w:p>
        </w:tc>
        <w:tc>
          <w:tcPr>
            <w:tcW w:w="280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站外排水沟</w:t>
            </w:r>
          </w:p>
        </w:tc>
        <w:tc>
          <w:tcPr>
            <w:tcW w:w="79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m</w:t>
            </w:r>
          </w:p>
        </w:tc>
        <w:tc>
          <w:tcPr>
            <w:tcW w:w="6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0"/>
                <w:szCs w:val="18"/>
                <w:lang w:val="en-US" w:eastAsia="zh-CN"/>
              </w:rPr>
            </w:pPr>
            <w:r>
              <w:rPr>
                <w:rFonts w:hint="eastAsia"/>
                <w:kern w:val="0"/>
                <w:sz w:val="20"/>
                <w:szCs w:val="18"/>
                <w:lang w:val="en-US" w:eastAsia="zh-CN"/>
              </w:rPr>
              <w:t>121.8</w:t>
            </w:r>
          </w:p>
        </w:tc>
        <w:tc>
          <w:tcPr>
            <w:tcW w:w="339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浆砌石，0.4mx0.4m</w:t>
            </w:r>
          </w:p>
        </w:tc>
      </w:tr>
    </w:tbl>
    <w:p>
      <w:pPr>
        <w:spacing w:before="120"/>
        <w:ind w:firstLine="480"/>
      </w:pPr>
      <w:r>
        <w:rPr>
          <w:rFonts w:hint="eastAsia"/>
        </w:rPr>
        <w:t>四、</w:t>
      </w:r>
      <w:r>
        <w:t>竖向布置</w:t>
      </w:r>
    </w:p>
    <w:p>
      <w:pPr>
        <w:spacing w:before="120"/>
        <w:ind w:firstLine="480"/>
      </w:pPr>
      <w:r>
        <w:rPr>
          <w:rFonts w:hint="eastAsia"/>
        </w:rPr>
        <w:t>（1）竖向布置</w:t>
      </w:r>
    </w:p>
    <w:p>
      <w:pPr>
        <w:spacing w:before="120"/>
        <w:ind w:firstLine="480"/>
      </w:pPr>
      <w:r>
        <w:rPr>
          <w:rFonts w:hint="eastAsia"/>
        </w:rPr>
        <w:t>主体工程根据场地实际情况，柯拉35kV变电站采用平坡式进行布置，站址标高根据进站道路引接确定，进站道路和规划道路引接处标高为3828.28m</w:t>
      </w:r>
      <w:r>
        <w:rPr>
          <w:rFonts w:hint="eastAsia"/>
          <w:lang w:eastAsia="zh-CN"/>
        </w:rPr>
        <w:t>，</w:t>
      </w:r>
      <w:r>
        <w:rPr>
          <w:rFonts w:hint="eastAsia"/>
        </w:rPr>
        <w:t>站址位置地势较平缓，进站道路坡度坡度5%，根据进站道路引接要求最终站址设计标高定3829.34~3829.50m。</w:t>
      </w:r>
    </w:p>
    <w:p>
      <w:pPr>
        <w:spacing w:before="120"/>
        <w:ind w:firstLine="480"/>
      </w:pPr>
      <w:r>
        <w:rPr>
          <w:rFonts w:hint="eastAsia"/>
        </w:rPr>
        <w:t>（2）竖向排水</w:t>
      </w:r>
    </w:p>
    <w:p>
      <w:pPr>
        <w:spacing w:before="120"/>
        <w:ind w:firstLine="480"/>
        <w:rPr>
          <w:vertAlign w:val="superscript"/>
        </w:rPr>
      </w:pPr>
      <w:r>
        <w:rPr>
          <w:rFonts w:hint="eastAsia"/>
        </w:rPr>
        <w:t>①</w:t>
      </w:r>
      <w:r>
        <w:rPr>
          <w:rFonts w:hint="eastAsia"/>
          <w:vertAlign w:val="superscript"/>
        </w:rPr>
        <w:t xml:space="preserve"> </w:t>
      </w:r>
      <w:r>
        <w:rPr>
          <w:rFonts w:hint="eastAsia"/>
        </w:rPr>
        <w:t>站内排水</w:t>
      </w:r>
      <w:r>
        <w:rPr>
          <w:rFonts w:hint="eastAsia"/>
          <w:vertAlign w:val="superscript"/>
        </w:rPr>
        <w:t xml:space="preserve"> </w:t>
      </w:r>
    </w:p>
    <w:p>
      <w:pPr>
        <w:spacing w:before="120"/>
        <w:ind w:firstLine="480"/>
      </w:pPr>
      <w:r>
        <w:rPr>
          <w:rFonts w:hint="eastAsia"/>
        </w:rPr>
        <w:t>站内排水采用散流明沟的排水方式，排水坡向北向南，其设计坡度为 1%。地面雨水从高到低自然流向，由南侧排入站外的截水沟，最终接入项目区南侧的自然排水系统。为避免站区地面水流向电缆沟，室外电缆沟高于地面 100mm，且垂直于场地排水方向的电缆沟设渡水槽板。</w:t>
      </w:r>
    </w:p>
    <w:p>
      <w:pPr>
        <w:spacing w:before="120"/>
        <w:ind w:firstLine="480"/>
      </w:pPr>
      <w:r>
        <w:rPr>
          <w:rFonts w:hint="eastAsia"/>
        </w:rPr>
        <w:t>②站外排水</w:t>
      </w:r>
    </w:p>
    <w:p>
      <w:pPr>
        <w:spacing w:before="120"/>
        <w:ind w:firstLine="480"/>
      </w:pPr>
      <w:r>
        <w:rPr>
          <w:rFonts w:hint="eastAsia"/>
        </w:rPr>
        <w:t>站外排水主要为墙外和进站道路的截水沟。主体工程设计的围墙外截水沟主要布置于外墙外侧，排水坡向呈北向南，其设计坡度为5%，主要是将站区外围汇水引至项目区西南侧的自然排水系统。截水沟采用矩形断面，M 7.5 浆砌石进行砌筑，其断面采用矩形断面，其尺寸为0.4m×0.4m，厚0.3m，总长度为 121.8m。</w:t>
      </w:r>
    </w:p>
    <w:p>
      <w:pPr>
        <w:pStyle w:val="5"/>
        <w:spacing w:before="120"/>
      </w:pPr>
      <w:r>
        <w:rPr>
          <w:rFonts w:hint="eastAsia"/>
          <w:lang w:val="en-US" w:eastAsia="zh-CN"/>
        </w:rPr>
        <w:t>柯拉35kv变电站</w:t>
      </w:r>
      <w:r>
        <w:rPr>
          <w:rFonts w:hint="eastAsia"/>
        </w:rPr>
        <w:t>线路</w:t>
      </w:r>
      <w:r>
        <w:rPr>
          <w:rFonts w:hint="eastAsia"/>
          <w:lang w:val="en-US" w:eastAsia="zh-CN"/>
        </w:rPr>
        <w:t>新建</w:t>
      </w:r>
      <w:r>
        <w:rPr>
          <w:rFonts w:hint="eastAsia"/>
        </w:rPr>
        <w:t>工程</w:t>
      </w:r>
    </w:p>
    <w:p>
      <w:pPr>
        <w:spacing w:before="120"/>
        <w:ind w:firstLine="480"/>
      </w:pPr>
      <w:r>
        <w:rPr>
          <w:rFonts w:hint="eastAsia"/>
        </w:rPr>
        <w:t>一、线路路径</w:t>
      </w:r>
    </w:p>
    <w:p>
      <w:pPr>
        <w:spacing w:before="120"/>
        <w:ind w:firstLine="480"/>
      </w:pPr>
      <w:r>
        <w:rPr>
          <w:rFonts w:hint="eastAsia"/>
          <w:lang w:eastAsia="zh-CN"/>
        </w:rPr>
        <w:t>柯拉35kV变电站线路新建工程在甘孜州雅江县柯拉乡境内进行走线，线路起原塔子坝—柯拉简易变线路#74塔，止于新建柯拉35kV 变电站，全线按单回架空设计，线路长约</w:t>
      </w:r>
      <w:r>
        <w:rPr>
          <w:rFonts w:hint="eastAsia"/>
          <w:lang w:val="en-US" w:eastAsia="zh-CN"/>
        </w:rPr>
        <w:t>18.93</w:t>
      </w:r>
      <w:r>
        <w:rPr>
          <w:rFonts w:hint="eastAsia"/>
          <w:lang w:eastAsia="zh-CN"/>
        </w:rPr>
        <w:t>km，其中架空线长</w:t>
      </w:r>
      <w:r>
        <w:rPr>
          <w:rFonts w:hint="eastAsia"/>
          <w:lang w:val="en-US" w:eastAsia="zh-CN"/>
        </w:rPr>
        <w:t>18.9</w:t>
      </w:r>
      <w:r>
        <w:rPr>
          <w:rFonts w:hint="eastAsia"/>
          <w:lang w:eastAsia="zh-CN"/>
        </w:rPr>
        <w:t>km，电缆路径长 0.03km。曲折系数1.16，全线使用铁塔70基，其中直线塔47基，转角塔23 基。全线采用10mm 覆冰设计。</w:t>
      </w:r>
    </w:p>
    <w:p>
      <w:pPr>
        <w:spacing w:before="120"/>
        <w:ind w:firstLine="480"/>
      </w:pPr>
      <w:r>
        <w:rPr>
          <w:rFonts w:hint="eastAsia"/>
        </w:rPr>
        <w:t>二、项目沿线不良地质介绍</w:t>
      </w:r>
    </w:p>
    <w:p>
      <w:pPr>
        <w:spacing w:before="120"/>
        <w:ind w:firstLine="480"/>
      </w:pPr>
      <w:r>
        <w:rPr>
          <w:rFonts w:hint="eastAsia"/>
        </w:rPr>
        <w:t>根据地勘报告，本项目整条线路大部分位于中高山区，线路沿线不良地质现象主要为：冲沟、泥石流、崩塌及高陡边坡等。本项目线路选线时已采取避让和跨越的方式进行通过。</w:t>
      </w:r>
      <w:r>
        <w:rPr>
          <w:rFonts w:hint="eastAsia"/>
          <w:vertAlign w:val="superscript"/>
        </w:rPr>
        <w:t xml:space="preserve"> </w:t>
      </w:r>
    </w:p>
    <w:p>
      <w:pPr>
        <w:spacing w:before="120"/>
        <w:ind w:firstLine="480"/>
      </w:pPr>
      <w:r>
        <w:rPr>
          <w:rFonts w:hint="eastAsia"/>
        </w:rPr>
        <w:t>三、铁塔形式</w:t>
      </w:r>
    </w:p>
    <w:p>
      <w:pPr>
        <w:spacing w:before="120"/>
        <w:ind w:firstLine="480"/>
        <w:rPr>
          <w:rFonts w:hint="eastAsia"/>
        </w:rPr>
      </w:pPr>
      <w:r>
        <w:rPr>
          <w:rFonts w:hint="eastAsia"/>
        </w:rPr>
        <w:t>根据本工程实际情况，共规划七种铁塔。由于工程位于高海拔、高寒地带，故本工程铁塔选用西藏农村电网35kV输电线路典型设计（2012版）中的 35B</w:t>
      </w:r>
      <w:r>
        <w:rPr>
          <w:rFonts w:hint="eastAsia"/>
          <w:lang w:val="en-US" w:eastAsia="zh-CN"/>
        </w:rPr>
        <w:t>3</w:t>
      </w:r>
      <w:r>
        <w:rPr>
          <w:rFonts w:hint="eastAsia"/>
        </w:rPr>
        <w:t>模块。</w:t>
      </w:r>
    </w:p>
    <w:p>
      <w:pPr>
        <w:spacing w:before="120"/>
        <w:ind w:firstLine="480"/>
        <w:rPr>
          <w:rFonts w:hint="eastAsia"/>
        </w:rPr>
      </w:pPr>
      <w:r>
        <w:rPr>
          <w:rFonts w:hint="eastAsia"/>
        </w:rPr>
        <w:t>（1）单回直线塔</w:t>
      </w:r>
    </w:p>
    <w:p>
      <w:pPr>
        <w:spacing w:before="120"/>
        <w:ind w:firstLine="480"/>
        <w:rPr>
          <w:rFonts w:hint="eastAsia"/>
        </w:rPr>
      </w:pPr>
      <w:r>
        <w:rPr>
          <w:rFonts w:hint="eastAsia"/>
        </w:rPr>
        <w:t>直线塔规划选用35B3-Z1、35B3-Z2和35B3-Z3共三种单回直线塔，设计呼高为12m～30m，塔身断面均为正方形，导线呈三角形排列。</w:t>
      </w:r>
    </w:p>
    <w:p>
      <w:pPr>
        <w:spacing w:before="120"/>
        <w:ind w:firstLine="480"/>
        <w:rPr>
          <w:rFonts w:hint="eastAsia"/>
        </w:rPr>
      </w:pPr>
      <w:r>
        <w:rPr>
          <w:rFonts w:hint="eastAsia"/>
        </w:rPr>
        <w:t>（2）单回耐张塔（含终端塔）</w:t>
      </w:r>
    </w:p>
    <w:p>
      <w:pPr>
        <w:spacing w:before="120"/>
        <w:ind w:firstLine="480"/>
        <w:rPr>
          <w:rFonts w:hint="eastAsia" w:eastAsia="仿宋_GB2312"/>
          <w:lang w:eastAsia="zh-CN"/>
        </w:rPr>
      </w:pPr>
      <w:r>
        <w:rPr>
          <w:rFonts w:hint="eastAsia"/>
        </w:rPr>
        <w:t>耐张塔规划选用35B3-J1、35B3-J2、35B3-J3和35B2-J4共四种单回耐张塔，设计呼高为14m～29m，塔身断面均为正方形，导线呈三角形排列</w:t>
      </w:r>
      <w:r>
        <w:rPr>
          <w:rFonts w:hint="eastAsia"/>
          <w:lang w:eastAsia="zh-CN"/>
        </w:rPr>
        <w:t>。</w:t>
      </w:r>
    </w:p>
    <w:p>
      <w:pPr>
        <w:spacing w:before="120"/>
        <w:ind w:firstLine="480"/>
      </w:pPr>
      <w:r>
        <w:rPr>
          <w:rFonts w:hint="eastAsia"/>
        </w:rPr>
        <w:t>四、基础规划与设计</w:t>
      </w:r>
    </w:p>
    <w:p>
      <w:pPr>
        <w:spacing w:before="120"/>
        <w:ind w:firstLine="480"/>
        <w:rPr>
          <w:rFonts w:hint="eastAsia"/>
        </w:rPr>
      </w:pPr>
      <w:r>
        <w:rPr>
          <w:rFonts w:hint="eastAsia"/>
        </w:rPr>
        <w:t>随着输电线路设计技术的不断发展和对土力学性能认识的进一步深入，基础型式向多样化发展，按照基础施工对土的扰动程度和基础稳定分析方法不同分为原状土基础、开挖基础和其它特殊类型的基础。根据本工程地形、地质特点及所选塔型，选择掏挖基础（ZTW型、JTW型）。</w:t>
      </w:r>
    </w:p>
    <w:p>
      <w:pPr>
        <w:spacing w:before="120"/>
        <w:ind w:firstLine="480"/>
        <w:rPr>
          <w:rFonts w:hint="eastAsia" w:eastAsia="仿宋_GB2312"/>
          <w:lang w:eastAsia="zh-CN"/>
        </w:rPr>
      </w:pPr>
      <w:r>
        <w:rPr>
          <w:rFonts w:hint="eastAsia"/>
        </w:rPr>
        <w:t>掏挖基础与大开挖基础相比，掏挖基础可减少基坑开挖量及塔基降方量，从而减少施工弃土，有效降低施工对环境的破坏；同时，原状土掏挖式基础地下部分在浇制混凝土时不用支模，使施工更加方便，降低了施工费用，该系列基础的立柱和扩大头均配置钢筋。ZTW型用于直线塔基础； JTW型用于转角塔、终端塔基础</w:t>
      </w:r>
      <w:r>
        <w:rPr>
          <w:rFonts w:hint="eastAsia"/>
          <w:lang w:eastAsia="zh-CN"/>
        </w:rPr>
        <w:t>。</w:t>
      </w:r>
    </w:p>
    <w:p>
      <w:pPr>
        <w:spacing w:before="120"/>
        <w:ind w:firstLine="480"/>
      </w:pPr>
      <w:r>
        <w:rPr>
          <w:rFonts w:hint="eastAsia"/>
        </w:rPr>
        <w:t>五、交叉跨越</w:t>
      </w:r>
    </w:p>
    <w:p>
      <w:pPr>
        <w:spacing w:before="120"/>
        <w:ind w:firstLine="480"/>
      </w:pPr>
      <w:r>
        <w:rPr>
          <w:rFonts w:hint="eastAsia"/>
        </w:rPr>
        <w:t>本项目线路路径共跨越25次，其中穿10kV线路6次、低压及通讯线8 次、公路6次和河流5次(小河沟)。</w:t>
      </w:r>
    </w:p>
    <w:p>
      <w:pPr>
        <w:pStyle w:val="5"/>
        <w:spacing w:before="120"/>
      </w:pPr>
      <w:r>
        <w:rPr>
          <w:rFonts w:hint="eastAsia"/>
        </w:rPr>
        <w:t>电缆</w:t>
      </w:r>
      <w:r>
        <w:t>工程</w:t>
      </w:r>
    </w:p>
    <w:p>
      <w:pPr>
        <w:spacing w:before="120"/>
        <w:ind w:firstLine="480"/>
        <w:rPr>
          <w:rFonts w:hint="eastAsia"/>
        </w:rPr>
      </w:pPr>
      <w:r>
        <w:rPr>
          <w:rFonts w:hint="eastAsia"/>
        </w:rPr>
        <w:t>本项目电缆工程起于拟建柯拉变电站外新建终端塔，止于35kV柯拉变电站35kV开关柜。电缆段采用：YJV22-26/35-3×185铜芯交联聚乙烯绝缘钢带铠装聚乙烯护套电力电缆，电缆路径长度约0.03km，其中：终端塔到变电站围墙路径长度为0.02km,变电站围墙至35kV连接柜路径长度为 0.01km。</w:t>
      </w:r>
    </w:p>
    <w:p>
      <w:pPr>
        <w:pStyle w:val="5"/>
        <w:spacing w:before="120"/>
      </w:pPr>
      <w:r>
        <w:rPr>
          <w:rFonts w:hint="eastAsia"/>
          <w:lang w:val="en-US" w:eastAsia="zh-CN"/>
        </w:rPr>
        <w:t>系统通信</w:t>
      </w:r>
      <w:r>
        <w:t>工程</w:t>
      </w:r>
    </w:p>
    <w:p>
      <w:pPr>
        <w:spacing w:before="120"/>
        <w:ind w:firstLine="480"/>
        <w:rPr>
          <w:rFonts w:hint="eastAsia" w:eastAsia="仿宋_GB2312"/>
          <w:lang w:eastAsia="zh-CN"/>
        </w:rPr>
      </w:pPr>
      <w:r>
        <w:rPr>
          <w:rFonts w:hint="eastAsia"/>
        </w:rPr>
        <w:t>系统通信工程为新建35kV柯拉站起至原塔子坝—柯拉简易变线路#74新建1根通信光缆线路，路径长</w:t>
      </w:r>
      <w:r>
        <w:rPr>
          <w:rFonts w:hint="eastAsia"/>
          <w:lang w:val="en-US" w:eastAsia="zh-CN"/>
        </w:rPr>
        <w:t>18.93</w:t>
      </w:r>
      <w:r>
        <w:rPr>
          <w:rFonts w:hint="eastAsia"/>
        </w:rPr>
        <w:t>km。建设完毕后可满足柯拉35kV变电站的数据、话音和图像传输的需要</w:t>
      </w:r>
      <w:r>
        <w:rPr>
          <w:rFonts w:hint="eastAsia"/>
          <w:lang w:eastAsia="zh-CN"/>
        </w:rPr>
        <w:t>。</w:t>
      </w:r>
    </w:p>
    <w:p>
      <w:pPr>
        <w:pStyle w:val="4"/>
        <w:spacing w:before="120"/>
      </w:pPr>
      <w:r>
        <w:t>施工组织及工期</w:t>
      </w:r>
      <w:bookmarkEnd w:id="17"/>
    </w:p>
    <w:p>
      <w:pPr>
        <w:spacing w:before="120"/>
        <w:ind w:firstLine="480"/>
      </w:pPr>
      <w:r>
        <w:t>1、施工交通条件</w:t>
      </w:r>
    </w:p>
    <w:p>
      <w:pPr>
        <w:spacing w:before="120"/>
        <w:ind w:firstLine="480"/>
        <w:rPr>
          <w:rFonts w:hint="eastAsia"/>
        </w:rPr>
      </w:pPr>
      <w:r>
        <w:rPr>
          <w:rFonts w:hint="eastAsia"/>
        </w:rPr>
        <w:t>本项目交通运输主要依托乡道和通村道路和进场道路等道路进行运输，交通较为便利。根据初步设计成果，并结合现场调查：本项目现有道路能够满足交通运输的要求，无需新建和扩宽施工道路。</w:t>
      </w:r>
    </w:p>
    <w:p>
      <w:pPr>
        <w:spacing w:before="120"/>
        <w:ind w:firstLine="480"/>
      </w:pPr>
      <w:r>
        <w:rPr>
          <w:rFonts w:hint="eastAsia"/>
        </w:rPr>
        <w:t>另外本项目所建塔基均位于山顶或山腰，部分塔基无法完全利用现有的人行道路进行运输，因此在施工时需新修人抬道路方可达到，线路工程需修建人抬道路7.0km，道路宽1.0m，占地面积为0.70hm</w:t>
      </w:r>
      <w:r>
        <w:rPr>
          <w:rFonts w:hint="eastAsia"/>
          <w:vertAlign w:val="superscript"/>
        </w:rPr>
        <w:t>2</w:t>
      </w:r>
      <w:r>
        <w:rPr>
          <w:rFonts w:hint="eastAsia"/>
        </w:rPr>
        <w:t>。</w:t>
      </w:r>
    </w:p>
    <w:p>
      <w:pPr>
        <w:spacing w:before="120"/>
        <w:ind w:firstLine="480"/>
      </w:pPr>
      <w:r>
        <w:t>2、供水供电条件</w:t>
      </w:r>
    </w:p>
    <w:p>
      <w:pPr>
        <w:spacing w:before="120"/>
        <w:ind w:firstLine="480"/>
      </w:pPr>
      <w:r>
        <w:rPr>
          <w:rFonts w:hint="eastAsia"/>
        </w:rPr>
        <w:t>（1）施工用水：本项目站区和线路靠近附近的居民点，其施工用水一般在站区及线路沿线附近的沟渠、村落或打井取水，其水质能够满足施工要求。</w:t>
      </w:r>
    </w:p>
    <w:p>
      <w:pPr>
        <w:spacing w:before="120"/>
        <w:ind w:firstLine="480"/>
      </w:pPr>
      <w:r>
        <w:rPr>
          <w:rFonts w:hint="eastAsia"/>
        </w:rPr>
        <w:t>（2）施工用电：变电站施工用电引接于项目区附近的居民点的居民用电，并配备相应的供电设备；线路施工用主要采用柴油发电机进行解决</w:t>
      </w:r>
      <w:r>
        <w:t>。</w:t>
      </w:r>
    </w:p>
    <w:p>
      <w:pPr>
        <w:spacing w:before="120"/>
        <w:ind w:firstLine="480"/>
      </w:pPr>
      <w:r>
        <w:t>3、建筑材料供给</w:t>
      </w:r>
    </w:p>
    <w:p>
      <w:pPr>
        <w:spacing w:before="120"/>
        <w:ind w:firstLine="480"/>
      </w:pPr>
      <w:r>
        <w:rPr>
          <w:rFonts w:hint="eastAsia"/>
        </w:rPr>
        <w:t>项目所需砂、石料在当地具有开采许可证的合法采砂、采石场进行购买，并在合同中明确其开采及运输过程中产生的流失责任由料场负责，不计入本工程防</w:t>
      </w:r>
      <w:r>
        <w:rPr>
          <w:rFonts w:hint="eastAsia"/>
          <w:vertAlign w:val="superscript"/>
        </w:rPr>
        <w:t xml:space="preserve"> </w:t>
      </w:r>
      <w:r>
        <w:rPr>
          <w:rFonts w:hint="eastAsia"/>
        </w:rPr>
        <w:t>治责任范围内</w:t>
      </w:r>
      <w:r>
        <w:t>。</w:t>
      </w:r>
    </w:p>
    <w:p>
      <w:pPr>
        <w:spacing w:before="120"/>
        <w:ind w:firstLine="480"/>
      </w:pPr>
      <w:r>
        <w:t>4、施工生产生活条件</w:t>
      </w:r>
    </w:p>
    <w:p>
      <w:pPr>
        <w:spacing w:before="120"/>
        <w:ind w:firstLine="480"/>
        <w:rPr>
          <w:vertAlign w:val="superscript"/>
        </w:rPr>
      </w:pPr>
      <w:r>
        <w:rPr>
          <w:rFonts w:hint="eastAsia"/>
        </w:rPr>
        <w:t>（1）变电站施工生产区布置</w:t>
      </w:r>
      <w:r>
        <w:rPr>
          <w:rFonts w:hint="eastAsia"/>
          <w:vertAlign w:val="superscript"/>
        </w:rPr>
        <w:t xml:space="preserve"> </w:t>
      </w:r>
    </w:p>
    <w:p>
      <w:pPr>
        <w:spacing w:before="120"/>
        <w:ind w:firstLine="480"/>
      </w:pPr>
      <w:r>
        <w:rPr>
          <w:rFonts w:hint="eastAsia"/>
        </w:rPr>
        <w:t>本项目受变电站征占地的影响，其建筑施工材料可临时堆存站内的回车场内，施工人员生活用房租借项目区民房进行解决，不新增占地。本项目在站外布置一处施工临时场地，主要布置施工管理用房和站区场平的开挖土石方的临时堆放，其占地面积为0.02hm</w:t>
      </w:r>
      <w:r>
        <w:rPr>
          <w:rFonts w:hint="eastAsia"/>
          <w:vertAlign w:val="superscript"/>
        </w:rPr>
        <w:t>2</w:t>
      </w:r>
      <w:r>
        <w:rPr>
          <w:rFonts w:hint="eastAsia"/>
        </w:rPr>
        <w:t>。</w:t>
      </w:r>
    </w:p>
    <w:p>
      <w:pPr>
        <w:spacing w:before="120"/>
        <w:ind w:firstLine="480"/>
        <w:rPr>
          <w:vertAlign w:val="superscript"/>
        </w:rPr>
      </w:pPr>
      <w:r>
        <w:rPr>
          <w:rFonts w:hint="eastAsia"/>
        </w:rPr>
        <w:t>（2）塔基临时占地布置</w:t>
      </w:r>
      <w:r>
        <w:rPr>
          <w:rFonts w:hint="eastAsia"/>
          <w:vertAlign w:val="superscript"/>
        </w:rPr>
        <w:t xml:space="preserve"> </w:t>
      </w:r>
    </w:p>
    <w:p>
      <w:pPr>
        <w:spacing w:before="120"/>
        <w:ind w:firstLine="480"/>
      </w:pPr>
      <w:r>
        <w:rPr>
          <w:rFonts w:hint="eastAsia"/>
        </w:rPr>
        <w:t>为满足施工期间放置器材、材料及临时堆放开挖土石方等，需在每个塔基周围设置施工临时占地，塔基临时占地采用塔基占地+外扩 4~5m 进行计列，铁塔单基占地面积为</w:t>
      </w:r>
      <w:r>
        <w:rPr>
          <w:rFonts w:hint="eastAsia"/>
          <w:lang w:val="en-US" w:eastAsia="zh-CN"/>
        </w:rPr>
        <w:t>66</w:t>
      </w:r>
      <w:r>
        <w:rPr>
          <w:rFonts w:hint="eastAsia"/>
        </w:rPr>
        <w:t>m</w:t>
      </w:r>
      <w:r>
        <w:rPr>
          <w:rFonts w:hint="eastAsia"/>
          <w:vertAlign w:val="superscript"/>
        </w:rPr>
        <w:t>2</w:t>
      </w:r>
      <w:r>
        <w:rPr>
          <w:rFonts w:hint="eastAsia"/>
        </w:rPr>
        <w:t>～</w:t>
      </w:r>
      <w:r>
        <w:rPr>
          <w:rFonts w:hint="eastAsia"/>
          <w:lang w:val="en-US" w:eastAsia="zh-CN"/>
        </w:rPr>
        <w:t>111</w:t>
      </w:r>
      <w:r>
        <w:rPr>
          <w:rFonts w:hint="eastAsia"/>
        </w:rPr>
        <w:t>m</w:t>
      </w:r>
      <w:r>
        <w:rPr>
          <w:rFonts w:hint="eastAsia"/>
          <w:vertAlign w:val="superscript"/>
        </w:rPr>
        <w:t>2</w:t>
      </w:r>
      <w:r>
        <w:rPr>
          <w:rFonts w:hint="eastAsia"/>
        </w:rPr>
        <w:t xml:space="preserve">不等。经统计，本项目塔基临时占地 </w:t>
      </w:r>
      <w:r>
        <w:rPr>
          <w:rFonts w:hint="eastAsia"/>
          <w:lang w:val="en-US" w:eastAsia="zh-CN"/>
        </w:rPr>
        <w:t>0.58</w:t>
      </w:r>
      <w:r>
        <w:rPr>
          <w:rFonts w:hint="eastAsia"/>
        </w:rPr>
        <w:t>hm</w:t>
      </w:r>
      <w:r>
        <w:rPr>
          <w:rFonts w:hint="eastAsia"/>
          <w:vertAlign w:val="superscript"/>
        </w:rPr>
        <w:t>2</w:t>
      </w:r>
      <w:r>
        <w:rPr>
          <w:rFonts w:hint="eastAsia"/>
        </w:rPr>
        <w:t xml:space="preserve"> 。</w:t>
      </w:r>
    </w:p>
    <w:p>
      <w:pPr>
        <w:spacing w:before="120"/>
        <w:ind w:firstLine="480"/>
      </w:pPr>
      <w:r>
        <w:rPr>
          <w:rFonts w:hint="eastAsia"/>
        </w:rPr>
        <w:t>（3）其他临时占地布置</w:t>
      </w:r>
    </w:p>
    <w:p>
      <w:pPr>
        <w:spacing w:before="120"/>
        <w:ind w:firstLine="480"/>
      </w:pPr>
      <w:r>
        <w:rPr>
          <w:rFonts w:hint="eastAsia"/>
        </w:rPr>
        <w:t>①</w:t>
      </w:r>
      <w:r>
        <w:rPr>
          <w:rFonts w:hint="eastAsia"/>
          <w:vertAlign w:val="superscript"/>
        </w:rPr>
        <w:t xml:space="preserve"> </w:t>
      </w:r>
      <w:r>
        <w:rPr>
          <w:rFonts w:hint="eastAsia"/>
        </w:rPr>
        <w:t>跨越施工临时占地布置：通过对线路走线地形地貌以及交叉跨越情况，本方案仅对跨10kV线路和公路时设置跨越施工临时场地，经估算，本项目共设跨越施工临时占地12处，其占地总面积为0.05hm</w:t>
      </w:r>
      <w:r>
        <w:rPr>
          <w:rFonts w:hint="eastAsia"/>
          <w:vertAlign w:val="superscript"/>
        </w:rPr>
        <w:t>2</w:t>
      </w:r>
      <w:r>
        <w:rPr>
          <w:rFonts w:hint="eastAsia"/>
        </w:rPr>
        <w:t>。</w:t>
      </w:r>
    </w:p>
    <w:p>
      <w:pPr>
        <w:spacing w:before="120"/>
        <w:ind w:firstLine="480"/>
      </w:pPr>
      <w:r>
        <w:rPr>
          <w:rFonts w:hint="eastAsia"/>
        </w:rPr>
        <w:t>②</w:t>
      </w:r>
      <w:r>
        <w:rPr>
          <w:rFonts w:hint="eastAsia"/>
          <w:vertAlign w:val="superscript"/>
        </w:rPr>
        <w:t xml:space="preserve"> </w:t>
      </w:r>
      <w:r>
        <w:rPr>
          <w:rFonts w:hint="eastAsia"/>
        </w:rPr>
        <w:t>牵张场占地布置：本项目根据线路走向情况以及交通运输情况，本项目在靠近现有的通村道路附近设置牵张场</w:t>
      </w:r>
      <w:r>
        <w:rPr>
          <w:rFonts w:hint="eastAsia"/>
          <w:vertAlign w:val="superscript"/>
        </w:rPr>
        <w:t xml:space="preserve"> </w:t>
      </w:r>
      <w:r>
        <w:rPr>
          <w:rFonts w:hint="eastAsia"/>
          <w:lang w:val="en-US" w:eastAsia="zh-CN"/>
        </w:rPr>
        <w:t>4</w:t>
      </w:r>
      <w:r>
        <w:rPr>
          <w:rFonts w:hint="eastAsia"/>
          <w:vertAlign w:val="superscript"/>
        </w:rPr>
        <w:t xml:space="preserve"> </w:t>
      </w:r>
      <w:r>
        <w:rPr>
          <w:rFonts w:hint="eastAsia"/>
        </w:rPr>
        <w:t>处，均平均每处占地面积</w:t>
      </w:r>
      <w:r>
        <w:rPr>
          <w:rFonts w:hint="eastAsia"/>
          <w:vertAlign w:val="superscript"/>
        </w:rPr>
        <w:t xml:space="preserve"> </w:t>
      </w:r>
      <w:r>
        <w:rPr>
          <w:rFonts w:hint="eastAsia"/>
        </w:rPr>
        <w:t>1</w:t>
      </w:r>
      <w:r>
        <w:rPr>
          <w:rFonts w:hint="eastAsia"/>
          <w:lang w:val="en-US" w:eastAsia="zh-CN"/>
        </w:rPr>
        <w:t>5</w:t>
      </w:r>
      <w:r>
        <w:rPr>
          <w:rFonts w:hint="eastAsia"/>
        </w:rPr>
        <w:t>0m</w:t>
      </w:r>
      <w:r>
        <w:rPr>
          <w:rFonts w:hint="eastAsia"/>
          <w:vertAlign w:val="superscript"/>
        </w:rPr>
        <w:t>2</w:t>
      </w:r>
      <w:r>
        <w:rPr>
          <w:rFonts w:hint="eastAsia"/>
        </w:rPr>
        <w:t>，总占地面积</w:t>
      </w:r>
      <w:r>
        <w:rPr>
          <w:rFonts w:hint="eastAsia"/>
          <w:vertAlign w:val="baseline"/>
          <w:lang w:val="en-US" w:eastAsia="zh-CN"/>
        </w:rPr>
        <w:t>0.06</w:t>
      </w:r>
      <w:r>
        <w:rPr>
          <w:rFonts w:hint="eastAsia"/>
        </w:rPr>
        <w:t>hm</w:t>
      </w:r>
      <w:r>
        <w:rPr>
          <w:rFonts w:hint="eastAsia"/>
          <w:vertAlign w:val="superscript"/>
        </w:rPr>
        <w:t>2</w:t>
      </w:r>
      <w:r>
        <w:rPr>
          <w:rFonts w:hint="eastAsia"/>
        </w:rPr>
        <w:t>。</w:t>
      </w:r>
    </w:p>
    <w:p>
      <w:pPr>
        <w:spacing w:before="120"/>
        <w:ind w:firstLine="480"/>
      </w:pPr>
      <w:r>
        <w:rPr>
          <w:rFonts w:hint="eastAsia"/>
        </w:rPr>
        <w:t>（4）集散仓库、材料站设置</w:t>
      </w:r>
    </w:p>
    <w:p>
      <w:pPr>
        <w:spacing w:before="120"/>
        <w:ind w:firstLine="480"/>
      </w:pPr>
      <w:r>
        <w:rPr>
          <w:rFonts w:hint="eastAsia"/>
        </w:rPr>
        <w:t>本项目线路沿线居民区分布较为密积，集散仓库和材料站的设置主要临时租用沿线附近的民房解决。临时租用当地的集散仓库和材料站，主要用于存放材料</w:t>
      </w:r>
      <w:r>
        <w:rPr>
          <w:rFonts w:hint="eastAsia"/>
          <w:vertAlign w:val="superscript"/>
        </w:rPr>
        <w:t xml:space="preserve"> </w:t>
      </w:r>
      <w:r>
        <w:rPr>
          <w:rFonts w:hint="eastAsia"/>
        </w:rPr>
        <w:t>物资设施，以满足线路的施工材料供应要求。经统计本项目线路工程共需设置集</w:t>
      </w:r>
      <w:r>
        <w:rPr>
          <w:rFonts w:hint="eastAsia"/>
          <w:vertAlign w:val="superscript"/>
        </w:rPr>
        <w:t xml:space="preserve"> </w:t>
      </w:r>
      <w:r>
        <w:rPr>
          <w:rFonts w:hint="eastAsia"/>
        </w:rPr>
        <w:t>散仓库或材料站</w:t>
      </w:r>
      <w:r>
        <w:rPr>
          <w:rFonts w:hint="eastAsia"/>
          <w:vertAlign w:val="superscript"/>
        </w:rPr>
        <w:t xml:space="preserve"> </w:t>
      </w:r>
      <w:r>
        <w:rPr>
          <w:rFonts w:hint="eastAsia"/>
        </w:rPr>
        <w:t>1</w:t>
      </w:r>
      <w:r>
        <w:rPr>
          <w:rFonts w:hint="eastAsia"/>
          <w:vertAlign w:val="superscript"/>
        </w:rPr>
        <w:t xml:space="preserve"> </w:t>
      </w:r>
      <w:r>
        <w:rPr>
          <w:rFonts w:hint="eastAsia"/>
        </w:rPr>
        <w:t>处，本方案不将其计入防治责任范围。</w:t>
      </w:r>
    </w:p>
    <w:p>
      <w:pPr>
        <w:numPr>
          <w:ilvl w:val="0"/>
          <w:numId w:val="2"/>
        </w:numPr>
        <w:spacing w:before="120"/>
        <w:ind w:firstLine="480"/>
      </w:pPr>
      <w:r>
        <w:rPr>
          <w:rFonts w:hint="eastAsia"/>
        </w:rPr>
        <w:t>生活区布置</w:t>
      </w:r>
    </w:p>
    <w:p>
      <w:pPr>
        <w:spacing w:before="120"/>
        <w:ind w:firstLine="480"/>
      </w:pPr>
      <w:r>
        <w:rPr>
          <w:rFonts w:hint="eastAsia"/>
          <w:vertAlign w:val="superscript"/>
        </w:rPr>
        <w:t xml:space="preserve"> </w:t>
      </w:r>
      <w:r>
        <w:rPr>
          <w:rFonts w:hint="eastAsia"/>
        </w:rPr>
        <w:t>线路工程施工周期较短，呈点状分布，施工随进度从一个塔到另一个塔具有较强的移动性。施工人员的生活区布置采用租用线路沿线附近的民房解决。</w:t>
      </w:r>
    </w:p>
    <w:p>
      <w:pPr>
        <w:pStyle w:val="4"/>
        <w:spacing w:before="120"/>
      </w:pPr>
      <w:bookmarkStart w:id="18" w:name="_Toc515873299"/>
      <w:r>
        <w:t>土石方情况</w:t>
      </w:r>
      <w:bookmarkEnd w:id="18"/>
    </w:p>
    <w:p>
      <w:pPr>
        <w:pStyle w:val="5"/>
        <w:spacing w:before="120"/>
      </w:pPr>
      <w:r>
        <w:rPr>
          <w:rFonts w:hint="eastAsia"/>
        </w:rPr>
        <w:t>方案批复土石方情况</w:t>
      </w:r>
    </w:p>
    <w:p>
      <w:pPr>
        <w:spacing w:before="120"/>
        <w:ind w:firstLine="480"/>
      </w:pPr>
      <w:r>
        <w:rPr>
          <w:rFonts w:hint="eastAsia"/>
        </w:rPr>
        <w:t>本项目方案批复土石方开挖0.55万m</w:t>
      </w:r>
      <w:r>
        <w:rPr>
          <w:rFonts w:hint="eastAsia"/>
          <w:vertAlign w:val="superscript"/>
        </w:rPr>
        <w:t>3</w:t>
      </w:r>
      <w:r>
        <w:rPr>
          <w:rFonts w:hint="eastAsia"/>
        </w:rPr>
        <w:t xml:space="preserve"> (含剥离表土0.05万m</w:t>
      </w:r>
      <w:r>
        <w:rPr>
          <w:rFonts w:hint="eastAsia"/>
          <w:vertAlign w:val="superscript"/>
        </w:rPr>
        <w:t>3</w:t>
      </w:r>
      <w:r>
        <w:rPr>
          <w:rFonts w:hint="eastAsia"/>
        </w:rPr>
        <w:t>，自然方，下同)，回填0.34万m</w:t>
      </w:r>
      <w:r>
        <w:rPr>
          <w:rFonts w:hint="eastAsia"/>
          <w:vertAlign w:val="superscript"/>
        </w:rPr>
        <w:t>3</w:t>
      </w:r>
      <w:r>
        <w:rPr>
          <w:rFonts w:hint="eastAsia"/>
        </w:rPr>
        <w:t>（含覆土0.05万m</w:t>
      </w:r>
      <w:r>
        <w:rPr>
          <w:rFonts w:hint="eastAsia"/>
          <w:vertAlign w:val="superscript"/>
        </w:rPr>
        <w:t>3</w:t>
      </w:r>
      <w:r>
        <w:rPr>
          <w:rFonts w:hint="eastAsia"/>
        </w:rPr>
        <w:t>），弃方0.21万m</w:t>
      </w:r>
      <w:r>
        <w:rPr>
          <w:rFonts w:hint="eastAsia"/>
          <w:vertAlign w:val="superscript"/>
        </w:rPr>
        <w:t>3</w:t>
      </w:r>
      <w:r>
        <w:rPr>
          <w:rFonts w:hint="eastAsia"/>
        </w:rPr>
        <w:t>，折合松方0.26万m</w:t>
      </w:r>
      <w:r>
        <w:rPr>
          <w:rFonts w:hint="eastAsia"/>
          <w:vertAlign w:val="superscript"/>
        </w:rPr>
        <w:t>3</w:t>
      </w:r>
      <w:r>
        <w:rPr>
          <w:rFonts w:hint="eastAsia"/>
        </w:rPr>
        <w:t>，其中变电站工程产生弃方0.07万m</w:t>
      </w:r>
      <w:r>
        <w:rPr>
          <w:rFonts w:hint="eastAsia"/>
          <w:vertAlign w:val="superscript"/>
        </w:rPr>
        <w:t>3</w:t>
      </w:r>
      <w:r>
        <w:rPr>
          <w:rFonts w:hint="eastAsia"/>
        </w:rPr>
        <w:t>，弃方运至柯拉35kV变电站东侧设置的弃土点进行集中堆放；线路工程产生弃方0.14万m</w:t>
      </w:r>
      <w:r>
        <w:rPr>
          <w:rFonts w:hint="eastAsia"/>
          <w:vertAlign w:val="superscript"/>
        </w:rPr>
        <w:t>3</w:t>
      </w:r>
      <w:r>
        <w:rPr>
          <w:rFonts w:hint="eastAsia"/>
        </w:rPr>
        <w:t>，弃方全部为塔基基面和塔基开挖剩余土石方，根据塔基所在的地形情况，对地势较为平摊的塔基，弃方主要在塔基占地范围内进行平摊处理；对坡度较大或土石方开挖较大的塔基在塔基及塔基临时占地区进行平摊处理，本项目弃方平摊处理厚度平均约为20cm。</w:t>
      </w:r>
    </w:p>
    <w:p>
      <w:pPr>
        <w:pStyle w:val="16"/>
      </w:pPr>
      <w:r>
        <w:rPr>
          <w:rFonts w:hint="eastAsia"/>
        </w:rPr>
        <w:t>批复方案的</w:t>
      </w:r>
      <w:r>
        <w:t>土石方平衡表</w:t>
      </w:r>
      <w:r>
        <w:rPr>
          <w:rFonts w:hint="eastAsia"/>
        </w:rPr>
        <w:t xml:space="preserve"> 单位：万m</w:t>
      </w:r>
      <w:r>
        <w:rPr>
          <w:rFonts w:hint="eastAsia"/>
          <w:vertAlign w:val="superscript"/>
        </w:rPr>
        <w:t>3</w:t>
      </w:r>
    </w:p>
    <w:p>
      <w:pPr>
        <w:pStyle w:val="13"/>
      </w:pPr>
      <w:r>
        <w:rPr>
          <w:rFonts w:hint="eastAsia"/>
        </w:rPr>
        <w:t xml:space="preserve">表 </w:t>
      </w:r>
      <w:r>
        <w:fldChar w:fldCharType="begin"/>
      </w:r>
      <w:r>
        <w:instrText xml:space="preserve"> STYLEREF 2 \s </w:instrText>
      </w:r>
      <w:r>
        <w:fldChar w:fldCharType="separate"/>
      </w:r>
      <w:r>
        <w:t>1.1</w:t>
      </w:r>
      <w:r>
        <w:fldChar w:fldCharType="end"/>
      </w:r>
      <w:r>
        <w:noBreakHyphen/>
      </w:r>
      <w:r>
        <w:fldChar w:fldCharType="begin"/>
      </w:r>
      <w:r>
        <w:instrText xml:space="preserve"> </w:instrText>
      </w:r>
      <w:r>
        <w:rPr>
          <w:rFonts w:hint="eastAsia"/>
        </w:rPr>
        <w:instrText xml:space="preserve">SEQ 表 \* ARABIC \s 2</w:instrText>
      </w:r>
      <w:r>
        <w:instrText xml:space="preserve"> </w:instrText>
      </w:r>
      <w:r>
        <w:fldChar w:fldCharType="separate"/>
      </w:r>
      <w:r>
        <w:t>4</w:t>
      </w:r>
      <w:r>
        <w:fldChar w:fldCharType="end"/>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616"/>
        <w:gridCol w:w="624"/>
        <w:gridCol w:w="1578"/>
        <w:gridCol w:w="528"/>
        <w:gridCol w:w="528"/>
        <w:gridCol w:w="528"/>
        <w:gridCol w:w="528"/>
        <w:gridCol w:w="528"/>
        <w:gridCol w:w="528"/>
        <w:gridCol w:w="721"/>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blHeader/>
        </w:trPr>
        <w:tc>
          <w:tcPr>
            <w:tcW w:w="2818" w:type="dxa"/>
            <w:gridSpan w:val="3"/>
            <w:vMerge w:val="restart"/>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项目组成</w:t>
            </w:r>
          </w:p>
        </w:tc>
        <w:tc>
          <w:tcPr>
            <w:tcW w:w="528" w:type="dxa"/>
            <w:vMerge w:val="restart"/>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开挖</w:t>
            </w:r>
          </w:p>
        </w:tc>
        <w:tc>
          <w:tcPr>
            <w:tcW w:w="528" w:type="dxa"/>
            <w:vMerge w:val="restart"/>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回填</w:t>
            </w:r>
          </w:p>
        </w:tc>
        <w:tc>
          <w:tcPr>
            <w:tcW w:w="1056" w:type="dxa"/>
            <w:gridSpan w:val="2"/>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调入</w:t>
            </w:r>
          </w:p>
        </w:tc>
        <w:tc>
          <w:tcPr>
            <w:tcW w:w="1056" w:type="dxa"/>
            <w:gridSpan w:val="2"/>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调出</w:t>
            </w:r>
          </w:p>
        </w:tc>
        <w:tc>
          <w:tcPr>
            <w:tcW w:w="2342" w:type="dxa"/>
            <w:gridSpan w:val="2"/>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弃方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blHeader/>
        </w:trPr>
        <w:tc>
          <w:tcPr>
            <w:tcW w:w="2818" w:type="dxa"/>
            <w:gridSpan w:val="3"/>
            <w:vMerge w:val="continue"/>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数量</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来源</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数量</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去向</w:t>
            </w: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自然方</w:t>
            </w:r>
          </w:p>
        </w:tc>
        <w:tc>
          <w:tcPr>
            <w:tcW w:w="1621"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去向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restart"/>
            <w:tcBorders>
              <w:bottom w:val="nil"/>
            </w:tcBorders>
            <w:shd w:val="clear" w:color="auto" w:fill="auto"/>
            <w:textDirection w:val="tbRlV"/>
            <w:vAlign w:val="center"/>
          </w:tcPr>
          <w:p>
            <w:pPr>
              <w:pStyle w:val="52"/>
              <w:keepNext w:val="0"/>
              <w:keepLines w:val="0"/>
              <w:widowControl/>
              <w:suppressLineNumbers w:val="0"/>
              <w:spacing w:before="0" w:beforeAutospacing="0" w:after="0" w:afterAutospacing="0" w:line="240" w:lineRule="auto"/>
              <w:ind w:left="0" w:right="0"/>
            </w:pPr>
            <w:r>
              <w:rPr>
                <w:rFonts w:hint="eastAsia"/>
              </w:rPr>
              <w:t>变电站工程</w:t>
            </w:r>
          </w:p>
        </w:tc>
        <w:tc>
          <w:tcPr>
            <w:tcW w:w="2202" w:type="dxa"/>
            <w:gridSpan w:val="2"/>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场平施工</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0.03</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0.01</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lang w:val="en-US" w:eastAsia="zh-CN"/>
              </w:rPr>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0.0</w:t>
            </w:r>
            <w:r>
              <w:rPr>
                <w:rFonts w:hint="eastAsia"/>
                <w:lang w:val="en-US" w:eastAsia="zh-CN"/>
              </w:rPr>
              <w:t>2</w:t>
            </w:r>
            <w:r>
              <w:t>　</w:t>
            </w:r>
          </w:p>
        </w:tc>
        <w:tc>
          <w:tcPr>
            <w:tcW w:w="1621" w:type="dxa"/>
            <w:vMerge w:val="restart"/>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default" w:eastAsia="仿宋_GB2312"/>
                <w:lang w:val="en-US" w:eastAsia="zh-CN"/>
              </w:rPr>
              <w:t>运至变电站东</w:t>
            </w:r>
          </w:p>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default" w:eastAsia="仿宋_GB2312"/>
                <w:lang w:val="en-US" w:eastAsia="zh-CN"/>
              </w:rPr>
              <w:t>侧的弃土点进</w:t>
            </w:r>
          </w:p>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default" w:eastAsia="仿宋_GB2312"/>
                <w:lang w:val="en-US" w:eastAsia="zh-CN"/>
              </w:rPr>
              <w:t>行集中堆放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continue"/>
            <w:shd w:val="clear" w:color="auto" w:fill="auto"/>
            <w:textDirection w:val="tbRlV"/>
            <w:vAlign w:val="center"/>
          </w:tcPr>
          <w:p>
            <w:pPr>
              <w:pStyle w:val="52"/>
              <w:keepNext w:val="0"/>
              <w:keepLines w:val="0"/>
              <w:widowControl/>
              <w:suppressLineNumbers w:val="0"/>
              <w:spacing w:before="0" w:beforeAutospacing="0" w:after="0" w:afterAutospacing="0" w:line="240" w:lineRule="auto"/>
              <w:ind w:left="0" w:right="0"/>
              <w:rPr>
                <w:rFonts w:hint="eastAsia"/>
              </w:rPr>
            </w:pPr>
          </w:p>
        </w:tc>
        <w:tc>
          <w:tcPr>
            <w:tcW w:w="2202"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ascii="宋体" w:hAnsi="宋体" w:eastAsia="仿宋_GB2312" w:cs="宋体"/>
                <w:lang w:val="en-US" w:eastAsia="zh-CN"/>
              </w:rPr>
            </w:pPr>
            <w:r>
              <w:rPr>
                <w:rFonts w:hint="eastAsia"/>
                <w:lang w:val="en-US" w:eastAsia="zh-CN"/>
              </w:rPr>
              <w:t>清除耕植土</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lang w:val="en-US" w:eastAsia="zh-CN"/>
              </w:rPr>
            </w:pPr>
            <w:r>
              <w:rPr>
                <w:rFonts w:hint="eastAsia"/>
                <w:lang w:val="en-US" w:eastAsia="zh-CN"/>
              </w:rPr>
              <w:t>0.02</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lang w:val="en-US" w:eastAsia="zh-CN"/>
              </w:rPr>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lang w:val="en-US" w:eastAsia="zh-CN"/>
              </w:rPr>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lang w:val="en-US" w:eastAsia="zh-CN"/>
              </w:rPr>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0.02</w:t>
            </w:r>
          </w:p>
        </w:tc>
        <w:tc>
          <w:tcPr>
            <w:tcW w:w="1621"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continue"/>
            <w:tcBorders>
              <w:bottom w:val="nil"/>
            </w:tcBorders>
            <w:shd w:val="clear" w:color="auto" w:fill="auto"/>
            <w:vAlign w:val="center"/>
          </w:tcPr>
          <w:p>
            <w:pPr>
              <w:pStyle w:val="52"/>
              <w:keepNext w:val="0"/>
              <w:keepLines w:val="0"/>
              <w:widowControl/>
              <w:suppressLineNumbers w:val="0"/>
              <w:spacing w:before="0" w:beforeAutospacing="0" w:after="0" w:afterAutospacing="0" w:line="240" w:lineRule="auto"/>
              <w:ind w:left="0" w:right="0"/>
            </w:pPr>
          </w:p>
        </w:tc>
        <w:tc>
          <w:tcPr>
            <w:tcW w:w="2202" w:type="dxa"/>
            <w:gridSpan w:val="2"/>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建筑物基础</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0.03</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lang w:eastAsia="zh-CN"/>
              </w:rPr>
            </w:pP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0.03</w:t>
            </w:r>
          </w:p>
        </w:tc>
        <w:tc>
          <w:tcPr>
            <w:tcW w:w="1621"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continue"/>
            <w:tcBorders>
              <w:bottom w:val="nil"/>
            </w:tcBorders>
            <w:shd w:val="clear" w:color="auto" w:fill="auto"/>
            <w:vAlign w:val="center"/>
          </w:tcPr>
          <w:p>
            <w:pPr>
              <w:pStyle w:val="52"/>
              <w:keepNext w:val="0"/>
              <w:keepLines w:val="0"/>
              <w:widowControl/>
              <w:suppressLineNumbers w:val="0"/>
              <w:spacing w:before="0" w:beforeAutospacing="0" w:after="0" w:afterAutospacing="0" w:line="240" w:lineRule="auto"/>
              <w:ind w:left="0" w:right="0"/>
            </w:pPr>
          </w:p>
        </w:tc>
        <w:tc>
          <w:tcPr>
            <w:tcW w:w="2202" w:type="dxa"/>
            <w:gridSpan w:val="2"/>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进站道路</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0.01</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0.01</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lang w:val="en-US" w:eastAsia="zh-CN"/>
              </w:rPr>
            </w:pPr>
            <w:r>
              <w:rPr>
                <w:rFonts w:hint="eastAsia"/>
                <w:lang w:val="en-US" w:eastAsia="zh-CN"/>
              </w:rPr>
              <w:t>0</w:t>
            </w:r>
          </w:p>
        </w:tc>
        <w:tc>
          <w:tcPr>
            <w:tcW w:w="1621"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continue"/>
            <w:tcBorders>
              <w:bottom w:val="nil"/>
            </w:tcBorders>
            <w:shd w:val="clear" w:color="auto" w:fill="auto"/>
            <w:vAlign w:val="center"/>
          </w:tcPr>
          <w:p>
            <w:pPr>
              <w:pStyle w:val="52"/>
              <w:keepNext w:val="0"/>
              <w:keepLines w:val="0"/>
              <w:widowControl/>
              <w:suppressLineNumbers w:val="0"/>
              <w:spacing w:before="0" w:beforeAutospacing="0" w:after="0" w:afterAutospacing="0" w:line="240" w:lineRule="auto"/>
              <w:ind w:left="0" w:right="0"/>
            </w:pPr>
          </w:p>
        </w:tc>
        <w:tc>
          <w:tcPr>
            <w:tcW w:w="2202" w:type="dxa"/>
            <w:gridSpan w:val="2"/>
            <w:shd w:val="clear" w:color="auto" w:fill="auto"/>
            <w:vAlign w:val="center"/>
          </w:tcPr>
          <w:p>
            <w:pPr>
              <w:pStyle w:val="52"/>
              <w:keepNext w:val="0"/>
              <w:keepLines w:val="0"/>
              <w:widowControl/>
              <w:suppressLineNumbers w:val="0"/>
              <w:spacing w:before="0" w:beforeAutospacing="0" w:after="0" w:afterAutospacing="0"/>
              <w:ind w:left="0" w:right="0"/>
              <w:rPr>
                <w:b w:val="0"/>
                <w:bCs w:val="0"/>
              </w:rPr>
            </w:pPr>
            <w:r>
              <w:rPr>
                <w:rFonts w:hint="eastAsia"/>
                <w:b w:val="0"/>
                <w:bCs w:val="0"/>
              </w:rPr>
              <w:t>小计</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val="0"/>
                <w:bCs w:val="0"/>
                <w:lang w:val="en-US" w:eastAsia="zh-CN"/>
              </w:rPr>
            </w:pPr>
            <w:r>
              <w:rPr>
                <w:rFonts w:hint="eastAsia"/>
                <w:b w:val="0"/>
                <w:bCs w:val="0"/>
                <w:lang w:val="en-US" w:eastAsia="zh-CN"/>
              </w:rPr>
              <w:t>0.09</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val="0"/>
                <w:bCs w:val="0"/>
                <w:lang w:val="en-US" w:eastAsia="zh-CN"/>
              </w:rPr>
            </w:pPr>
            <w:r>
              <w:rPr>
                <w:rFonts w:hint="eastAsia"/>
                <w:b w:val="0"/>
                <w:bCs w:val="0"/>
                <w:lang w:val="en-US" w:eastAsia="zh-CN"/>
              </w:rPr>
              <w:t>0.02</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val="0"/>
                <w:bCs w:val="0"/>
                <w:lang w:val="en-US" w:eastAsia="zh-CN"/>
              </w:rPr>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b w:val="0"/>
                <w:bCs w:val="0"/>
              </w:rPr>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val="0"/>
                <w:bCs w:val="0"/>
                <w:lang w:val="en-US" w:eastAsia="zh-CN"/>
              </w:rPr>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b w:val="0"/>
                <w:bCs w:val="0"/>
              </w:rPr>
            </w:pP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val="0"/>
                <w:bCs w:val="0"/>
                <w:lang w:val="en-US" w:eastAsia="zh-CN"/>
              </w:rPr>
            </w:pPr>
            <w:r>
              <w:rPr>
                <w:rFonts w:hint="eastAsia"/>
                <w:b w:val="0"/>
                <w:bCs w:val="0"/>
                <w:lang w:val="en-US" w:eastAsia="zh-CN"/>
              </w:rPr>
              <w:t>0.07</w:t>
            </w:r>
          </w:p>
        </w:tc>
        <w:tc>
          <w:tcPr>
            <w:tcW w:w="1621"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restart"/>
            <w:tcBorders>
              <w:bottom w:val="nil"/>
            </w:tcBorders>
            <w:shd w:val="clear" w:color="auto" w:fill="auto"/>
            <w:textDirection w:val="tbRlV"/>
            <w:vAlign w:val="center"/>
          </w:tcPr>
          <w:p>
            <w:pPr>
              <w:pStyle w:val="52"/>
              <w:keepNext w:val="0"/>
              <w:keepLines w:val="0"/>
              <w:widowControl/>
              <w:suppressLineNumbers w:val="0"/>
              <w:spacing w:before="0" w:beforeAutospacing="0" w:after="0" w:afterAutospacing="0" w:line="240" w:lineRule="auto"/>
              <w:ind w:left="0" w:right="0"/>
            </w:pPr>
            <w:r>
              <w:rPr>
                <w:rFonts w:hint="eastAsia"/>
              </w:rPr>
              <w:t>线路工程</w:t>
            </w:r>
          </w:p>
        </w:tc>
        <w:tc>
          <w:tcPr>
            <w:tcW w:w="624" w:type="dxa"/>
            <w:vMerge w:val="restart"/>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塔基</w:t>
            </w:r>
          </w:p>
        </w:tc>
        <w:tc>
          <w:tcPr>
            <w:tcW w:w="1578"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lang w:val="en-US" w:eastAsia="zh-CN"/>
              </w:rPr>
              <w:t>剥离</w:t>
            </w:r>
            <w:r>
              <w:rPr>
                <w:rFonts w:hint="eastAsia"/>
              </w:rPr>
              <w:t>表土</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0.05</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0.05</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r>
              <w:t>　</w:t>
            </w: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lang w:val="en-US" w:eastAsia="zh-CN"/>
              </w:rPr>
              <w:t>0</w:t>
            </w:r>
            <w:r>
              <w:t>　</w:t>
            </w:r>
          </w:p>
        </w:tc>
        <w:tc>
          <w:tcPr>
            <w:tcW w:w="1621" w:type="dxa"/>
            <w:vMerge w:val="restart"/>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　</w:t>
            </w:r>
          </w:p>
          <w:p>
            <w:pPr>
              <w:pStyle w:val="52"/>
              <w:keepNext w:val="0"/>
              <w:keepLines w:val="0"/>
              <w:widowControl/>
              <w:suppressLineNumbers w:val="0"/>
              <w:spacing w:before="0" w:beforeAutospacing="0" w:after="0" w:afterAutospacing="0"/>
              <w:ind w:left="0" w:right="0"/>
            </w:pPr>
            <w:r>
              <w:rPr>
                <w:rFonts w:hint="eastAsia"/>
              </w:rPr>
              <w:t>塔基及塔基施工临时占地区内平摊处理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continue"/>
            <w:tcBorders>
              <w:bottom w:val="nil"/>
            </w:tcBorders>
            <w:shd w:val="clear" w:color="auto" w:fill="auto"/>
            <w:vAlign w:val="center"/>
          </w:tcPr>
          <w:p>
            <w:pPr>
              <w:pStyle w:val="52"/>
              <w:keepNext w:val="0"/>
              <w:keepLines w:val="0"/>
              <w:widowControl/>
              <w:suppressLineNumbers w:val="0"/>
              <w:spacing w:before="0" w:beforeAutospacing="0" w:after="0" w:afterAutospacing="0"/>
              <w:ind w:left="0" w:right="0"/>
            </w:pPr>
          </w:p>
        </w:tc>
        <w:tc>
          <w:tcPr>
            <w:tcW w:w="624"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c>
          <w:tcPr>
            <w:tcW w:w="1578"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lang w:val="en-US" w:eastAsia="zh-CN"/>
              </w:rPr>
              <w:t>基面及</w:t>
            </w:r>
            <w:r>
              <w:rPr>
                <w:rFonts w:hint="eastAsia"/>
              </w:rPr>
              <w:t>塔基基础</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0.13</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0.13</w:t>
            </w:r>
          </w:p>
        </w:tc>
        <w:tc>
          <w:tcPr>
            <w:tcW w:w="1621"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continue"/>
            <w:tcBorders>
              <w:bottom w:val="nil"/>
            </w:tcBorders>
            <w:shd w:val="clear" w:color="auto" w:fill="auto"/>
            <w:vAlign w:val="center"/>
          </w:tcPr>
          <w:p>
            <w:pPr>
              <w:pStyle w:val="52"/>
              <w:keepNext w:val="0"/>
              <w:keepLines w:val="0"/>
              <w:widowControl/>
              <w:suppressLineNumbers w:val="0"/>
              <w:spacing w:before="0" w:beforeAutospacing="0" w:after="0" w:afterAutospacing="0"/>
              <w:ind w:left="0" w:right="0"/>
            </w:pPr>
          </w:p>
        </w:tc>
        <w:tc>
          <w:tcPr>
            <w:tcW w:w="624"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c>
          <w:tcPr>
            <w:tcW w:w="1578"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挡土墙</w:t>
            </w:r>
            <w:r>
              <w:t>/</w:t>
            </w:r>
            <w:r>
              <w:rPr>
                <w:rFonts w:hint="eastAsia"/>
              </w:rPr>
              <w:t>排水沟</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0.02</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0.01</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0.01</w:t>
            </w:r>
          </w:p>
        </w:tc>
        <w:tc>
          <w:tcPr>
            <w:tcW w:w="1621"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continue"/>
            <w:tcBorders>
              <w:bottom w:val="nil"/>
            </w:tcBorders>
            <w:shd w:val="clear" w:color="auto" w:fill="auto"/>
            <w:vAlign w:val="center"/>
          </w:tcPr>
          <w:p>
            <w:pPr>
              <w:pStyle w:val="52"/>
              <w:keepNext w:val="0"/>
              <w:keepLines w:val="0"/>
              <w:widowControl/>
              <w:suppressLineNumbers w:val="0"/>
              <w:spacing w:before="0" w:beforeAutospacing="0" w:after="0" w:afterAutospacing="0"/>
              <w:ind w:left="0" w:right="0"/>
            </w:pPr>
          </w:p>
        </w:tc>
        <w:tc>
          <w:tcPr>
            <w:tcW w:w="624"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c>
          <w:tcPr>
            <w:tcW w:w="1578"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接地槽</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0.18</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0.18</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lang w:val="en-US" w:eastAsia="zh-CN"/>
              </w:rPr>
            </w:pPr>
            <w:r>
              <w:rPr>
                <w:rFonts w:hint="eastAsia"/>
                <w:lang w:val="en-US" w:eastAsia="zh-CN"/>
              </w:rPr>
              <w:t>0</w:t>
            </w:r>
          </w:p>
        </w:tc>
        <w:tc>
          <w:tcPr>
            <w:tcW w:w="1621"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continue"/>
            <w:tcBorders>
              <w:bottom w:val="nil"/>
            </w:tcBorders>
            <w:shd w:val="clear" w:color="auto" w:fill="auto"/>
            <w:vAlign w:val="center"/>
          </w:tcPr>
          <w:p>
            <w:pPr>
              <w:pStyle w:val="52"/>
              <w:keepNext w:val="0"/>
              <w:keepLines w:val="0"/>
              <w:widowControl/>
              <w:suppressLineNumbers w:val="0"/>
              <w:spacing w:before="0" w:beforeAutospacing="0" w:after="0" w:afterAutospacing="0"/>
              <w:ind w:left="0" w:right="0"/>
            </w:pPr>
          </w:p>
        </w:tc>
        <w:tc>
          <w:tcPr>
            <w:tcW w:w="2202" w:type="dxa"/>
            <w:gridSpan w:val="2"/>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电缆工程</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0.01</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0.01</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lang w:val="en-US" w:eastAsia="zh-CN"/>
              </w:rPr>
            </w:pPr>
            <w:r>
              <w:rPr>
                <w:rFonts w:hint="eastAsia"/>
                <w:lang w:val="en-US" w:eastAsia="zh-CN"/>
              </w:rPr>
              <w:t>0</w:t>
            </w:r>
          </w:p>
        </w:tc>
        <w:tc>
          <w:tcPr>
            <w:tcW w:w="1621"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continue"/>
            <w:tcBorders>
              <w:bottom w:val="nil"/>
            </w:tcBorders>
            <w:shd w:val="clear" w:color="auto" w:fill="auto"/>
            <w:vAlign w:val="center"/>
          </w:tcPr>
          <w:p>
            <w:pPr>
              <w:pStyle w:val="52"/>
              <w:keepNext w:val="0"/>
              <w:keepLines w:val="0"/>
              <w:widowControl/>
              <w:suppressLineNumbers w:val="0"/>
              <w:spacing w:before="0" w:beforeAutospacing="0" w:after="0" w:afterAutospacing="0"/>
              <w:ind w:left="0" w:right="0"/>
            </w:pPr>
          </w:p>
        </w:tc>
        <w:tc>
          <w:tcPr>
            <w:tcW w:w="2202" w:type="dxa"/>
            <w:gridSpan w:val="2"/>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人抬道路</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0.07</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0.07</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lang w:val="en-US" w:eastAsia="zh-CN"/>
              </w:rPr>
            </w:pPr>
            <w:r>
              <w:rPr>
                <w:rFonts w:hint="eastAsia"/>
                <w:lang w:val="en-US" w:eastAsia="zh-CN"/>
              </w:rPr>
              <w:t>0</w:t>
            </w:r>
          </w:p>
        </w:tc>
        <w:tc>
          <w:tcPr>
            <w:tcW w:w="1621"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continue"/>
            <w:tcBorders>
              <w:bottom w:val="nil"/>
            </w:tcBorders>
            <w:shd w:val="clear" w:color="auto" w:fill="auto"/>
            <w:vAlign w:val="center"/>
          </w:tcPr>
          <w:p>
            <w:pPr>
              <w:pStyle w:val="52"/>
              <w:keepNext w:val="0"/>
              <w:keepLines w:val="0"/>
              <w:widowControl/>
              <w:suppressLineNumbers w:val="0"/>
              <w:spacing w:before="0" w:beforeAutospacing="0" w:after="0" w:afterAutospacing="0"/>
              <w:ind w:left="0" w:right="0"/>
            </w:pPr>
          </w:p>
        </w:tc>
        <w:tc>
          <w:tcPr>
            <w:tcW w:w="2202" w:type="dxa"/>
            <w:gridSpan w:val="2"/>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小计</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0.46</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0.32</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0.14</w:t>
            </w:r>
          </w:p>
        </w:tc>
        <w:tc>
          <w:tcPr>
            <w:tcW w:w="1621"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2818" w:type="dxa"/>
            <w:gridSpan w:val="3"/>
            <w:shd w:val="clear" w:color="auto" w:fill="auto"/>
            <w:vAlign w:val="center"/>
          </w:tcPr>
          <w:p>
            <w:pPr>
              <w:pStyle w:val="52"/>
              <w:keepNext w:val="0"/>
              <w:keepLines w:val="0"/>
              <w:widowControl/>
              <w:suppressLineNumbers w:val="0"/>
              <w:spacing w:before="0" w:beforeAutospacing="0" w:after="0" w:afterAutospacing="0"/>
              <w:ind w:left="0" w:right="0"/>
              <w:rPr>
                <w:b/>
                <w:bCs/>
              </w:rPr>
            </w:pPr>
            <w:r>
              <w:rPr>
                <w:rFonts w:hint="eastAsia"/>
                <w:b/>
                <w:bCs/>
              </w:rPr>
              <w:t>合计</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bCs/>
                <w:lang w:val="en-US" w:eastAsia="zh-CN"/>
              </w:rPr>
            </w:pPr>
            <w:r>
              <w:rPr>
                <w:rFonts w:hint="eastAsia"/>
                <w:b/>
                <w:bCs/>
                <w:lang w:val="en-US" w:eastAsia="zh-CN"/>
              </w:rPr>
              <w:t>0.55</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bCs/>
                <w:lang w:val="en-US" w:eastAsia="zh-CN"/>
              </w:rPr>
            </w:pPr>
            <w:r>
              <w:rPr>
                <w:rFonts w:hint="eastAsia"/>
                <w:b/>
                <w:bCs/>
                <w:lang w:val="en-US" w:eastAsia="zh-CN"/>
              </w:rPr>
              <w:t>0.34</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bCs/>
                <w:lang w:val="en-US" w:eastAsia="zh-CN"/>
              </w:rPr>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b/>
                <w:bCs/>
              </w:rPr>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b/>
                <w:bCs/>
                <w:lang w:val="en-US" w:eastAsia="zh-CN"/>
              </w:rPr>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b/>
                <w:bCs/>
              </w:rPr>
            </w:pP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bCs/>
                <w:lang w:val="en-US" w:eastAsia="zh-CN"/>
              </w:rPr>
            </w:pPr>
            <w:r>
              <w:rPr>
                <w:rFonts w:hint="eastAsia"/>
                <w:b/>
                <w:bCs/>
                <w:lang w:val="en-US" w:eastAsia="zh-CN"/>
              </w:rPr>
              <w:t>0.21</w:t>
            </w:r>
          </w:p>
        </w:tc>
        <w:tc>
          <w:tcPr>
            <w:tcW w:w="1621" w:type="dxa"/>
            <w:shd w:val="clear" w:color="auto" w:fill="auto"/>
            <w:vAlign w:val="center"/>
          </w:tcPr>
          <w:p>
            <w:pPr>
              <w:pStyle w:val="52"/>
              <w:keepNext w:val="0"/>
              <w:keepLines w:val="0"/>
              <w:widowControl/>
              <w:suppressLineNumbers w:val="0"/>
              <w:spacing w:before="0" w:beforeAutospacing="0" w:after="0" w:afterAutospacing="0"/>
              <w:ind w:left="0" w:right="0"/>
            </w:pPr>
            <w:r>
              <w:t>　</w:t>
            </w:r>
          </w:p>
        </w:tc>
      </w:tr>
    </w:tbl>
    <w:p>
      <w:pPr>
        <w:pStyle w:val="5"/>
        <w:spacing w:before="120"/>
      </w:pPr>
      <w:r>
        <w:rPr>
          <w:rFonts w:hint="eastAsia"/>
        </w:rPr>
        <w:t>施工实际土石方情况</w:t>
      </w:r>
    </w:p>
    <w:p>
      <w:pPr>
        <w:spacing w:before="120"/>
        <w:ind w:firstLine="480"/>
      </w:pPr>
      <w:r>
        <w:t>本项目</w:t>
      </w:r>
      <w:r>
        <w:rPr>
          <w:rFonts w:hint="eastAsia"/>
        </w:rPr>
        <w:t>实际</w:t>
      </w:r>
      <w:r>
        <w:t>土石</w:t>
      </w:r>
      <w:r>
        <w:rPr>
          <w:rFonts w:hint="eastAsia"/>
        </w:rPr>
        <w:t>方</w:t>
      </w:r>
      <w:r>
        <w:rPr>
          <w:rFonts w:hint="eastAsia"/>
          <w:lang w:val="en-US" w:eastAsia="zh-CN"/>
        </w:rPr>
        <w:t>总挖方</w:t>
      </w:r>
      <w:r>
        <w:rPr>
          <w:rFonts w:hint="eastAsia"/>
        </w:rPr>
        <w:t>0.</w:t>
      </w:r>
      <w:r>
        <w:rPr>
          <w:rFonts w:hint="eastAsia"/>
          <w:lang w:val="en-US" w:eastAsia="zh-CN"/>
        </w:rPr>
        <w:t>55</w:t>
      </w:r>
      <w:r>
        <w:rPr>
          <w:rFonts w:hint="eastAsia"/>
        </w:rPr>
        <w:t>万m</w:t>
      </w:r>
      <w:r>
        <w:rPr>
          <w:rFonts w:hint="eastAsia"/>
          <w:vertAlign w:val="superscript"/>
        </w:rPr>
        <w:t>3</w:t>
      </w:r>
      <w:r>
        <w:rPr>
          <w:rFonts w:hint="eastAsia"/>
        </w:rPr>
        <w:t>(含剥离表土0.0</w:t>
      </w:r>
      <w:r>
        <w:rPr>
          <w:rFonts w:hint="eastAsia"/>
          <w:lang w:val="en-US" w:eastAsia="zh-CN"/>
        </w:rPr>
        <w:t>5</w:t>
      </w:r>
      <w:r>
        <w:rPr>
          <w:rFonts w:hint="eastAsia"/>
        </w:rPr>
        <w:t>万m</w:t>
      </w:r>
      <w:r>
        <w:rPr>
          <w:rFonts w:hint="eastAsia"/>
          <w:vertAlign w:val="superscript"/>
        </w:rPr>
        <w:t>3</w:t>
      </w:r>
      <w:r>
        <w:rPr>
          <w:rFonts w:hint="eastAsia"/>
        </w:rPr>
        <w:t>)，回填0.</w:t>
      </w:r>
      <w:r>
        <w:rPr>
          <w:rFonts w:hint="eastAsia"/>
          <w:lang w:val="en-US" w:eastAsia="zh-CN"/>
        </w:rPr>
        <w:t>55</w:t>
      </w:r>
      <w:r>
        <w:rPr>
          <w:rFonts w:hint="eastAsia"/>
        </w:rPr>
        <w:t>万m</w:t>
      </w:r>
      <w:r>
        <w:rPr>
          <w:rFonts w:hint="eastAsia"/>
          <w:vertAlign w:val="superscript"/>
        </w:rPr>
        <w:t>3</w:t>
      </w:r>
      <w:r>
        <w:rPr>
          <w:rFonts w:hint="eastAsia"/>
        </w:rPr>
        <w:t>（含覆土0.0</w:t>
      </w:r>
      <w:r>
        <w:rPr>
          <w:rFonts w:hint="eastAsia"/>
          <w:lang w:val="en-US" w:eastAsia="zh-CN"/>
        </w:rPr>
        <w:t>5</w:t>
      </w:r>
      <w:r>
        <w:rPr>
          <w:rFonts w:hint="eastAsia"/>
        </w:rPr>
        <w:t>万m</w:t>
      </w:r>
      <w:r>
        <w:rPr>
          <w:rFonts w:hint="eastAsia"/>
          <w:vertAlign w:val="superscript"/>
        </w:rPr>
        <w:t>3</w:t>
      </w:r>
      <w:r>
        <w:rPr>
          <w:rFonts w:hint="eastAsia"/>
        </w:rPr>
        <w:t>），</w:t>
      </w:r>
      <w:r>
        <w:rPr>
          <w:rFonts w:hint="eastAsia"/>
          <w:lang w:val="en-US" w:eastAsia="zh-CN"/>
        </w:rPr>
        <w:t>产生余方</w:t>
      </w:r>
      <w:r>
        <w:rPr>
          <w:rFonts w:hint="eastAsia"/>
        </w:rPr>
        <w:t>0.</w:t>
      </w:r>
      <w:r>
        <w:rPr>
          <w:rFonts w:hint="eastAsia"/>
          <w:lang w:val="en-US" w:eastAsia="zh-CN"/>
        </w:rPr>
        <w:t>14</w:t>
      </w:r>
      <w:r>
        <w:rPr>
          <w:rFonts w:hint="eastAsia"/>
        </w:rPr>
        <w:t>万m</w:t>
      </w:r>
      <w:r>
        <w:rPr>
          <w:rFonts w:hint="eastAsia"/>
          <w:vertAlign w:val="superscript"/>
        </w:rPr>
        <w:t>3</w:t>
      </w:r>
      <w:r>
        <w:t>，</w:t>
      </w:r>
      <w:r>
        <w:rPr>
          <w:rFonts w:hint="eastAsia" w:ascii="Times New Roman" w:hAnsi="Times New Roman" w:eastAsia="仿宋_GB2312" w:cs="Times New Roman"/>
          <w:kern w:val="2"/>
          <w:sz w:val="24"/>
          <w:szCs w:val="24"/>
          <w:lang w:val="en-US" w:eastAsia="zh-CN" w:bidi="ar"/>
        </w:rPr>
        <w:t>无弃方产生，不设置弃土场，各分区余方分别在变电站区、塔基及塔基施工临时占地区进行摊平处理</w:t>
      </w:r>
      <w:r>
        <w:t>。施工期间</w:t>
      </w:r>
      <w:r>
        <w:rPr>
          <w:rFonts w:hint="eastAsia"/>
          <w:lang w:val="en-US" w:eastAsia="zh-CN"/>
        </w:rPr>
        <w:t>实际</w:t>
      </w:r>
      <w:r>
        <w:t>土石方工程量统计见</w:t>
      </w:r>
      <w:r>
        <w:rPr>
          <w:rFonts w:hint="eastAsia"/>
        </w:rPr>
        <w:t>下表</w:t>
      </w:r>
      <w:r>
        <w:t>。</w:t>
      </w:r>
    </w:p>
    <w:p>
      <w:pPr>
        <w:pStyle w:val="16"/>
      </w:pPr>
      <w:r>
        <w:t>实际土石方平衡表</w:t>
      </w:r>
      <w:r>
        <w:rPr>
          <w:rFonts w:hint="eastAsia"/>
        </w:rPr>
        <w:t xml:space="preserve"> 单位：万m</w:t>
      </w:r>
      <w:r>
        <w:rPr>
          <w:rFonts w:hint="eastAsia"/>
          <w:vertAlign w:val="superscript"/>
        </w:rPr>
        <w:t>3</w:t>
      </w:r>
    </w:p>
    <w:p>
      <w:pPr>
        <w:pStyle w:val="13"/>
      </w:pPr>
      <w:r>
        <w:t xml:space="preserve">表 </w:t>
      </w:r>
      <w:r>
        <w:fldChar w:fldCharType="begin"/>
      </w:r>
      <w:r>
        <w:instrText xml:space="preserve"> STYLEREF 2 \s </w:instrText>
      </w:r>
      <w:r>
        <w:fldChar w:fldCharType="separate"/>
      </w:r>
      <w:r>
        <w:t>1.1</w:t>
      </w:r>
      <w:r>
        <w:fldChar w:fldCharType="end"/>
      </w:r>
      <w:r>
        <w:noBreakHyphen/>
      </w:r>
      <w:r>
        <w:fldChar w:fldCharType="begin"/>
      </w:r>
      <w:r>
        <w:instrText xml:space="preserve"> SEQ 表 \* ARABIC \s 2 </w:instrText>
      </w:r>
      <w:r>
        <w:fldChar w:fldCharType="separate"/>
      </w:r>
      <w:r>
        <w:t>5</w:t>
      </w:r>
      <w:r>
        <w:fldChar w:fldCharType="end"/>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616"/>
        <w:gridCol w:w="624"/>
        <w:gridCol w:w="1578"/>
        <w:gridCol w:w="528"/>
        <w:gridCol w:w="528"/>
        <w:gridCol w:w="528"/>
        <w:gridCol w:w="528"/>
        <w:gridCol w:w="528"/>
        <w:gridCol w:w="528"/>
        <w:gridCol w:w="721"/>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blHeader/>
        </w:trPr>
        <w:tc>
          <w:tcPr>
            <w:tcW w:w="2818" w:type="dxa"/>
            <w:gridSpan w:val="3"/>
            <w:vMerge w:val="restart"/>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项目组成</w:t>
            </w:r>
          </w:p>
        </w:tc>
        <w:tc>
          <w:tcPr>
            <w:tcW w:w="528" w:type="dxa"/>
            <w:vMerge w:val="restart"/>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开挖</w:t>
            </w:r>
          </w:p>
        </w:tc>
        <w:tc>
          <w:tcPr>
            <w:tcW w:w="528" w:type="dxa"/>
            <w:vMerge w:val="restart"/>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回填</w:t>
            </w:r>
          </w:p>
        </w:tc>
        <w:tc>
          <w:tcPr>
            <w:tcW w:w="1056" w:type="dxa"/>
            <w:gridSpan w:val="2"/>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调入</w:t>
            </w:r>
          </w:p>
        </w:tc>
        <w:tc>
          <w:tcPr>
            <w:tcW w:w="1056" w:type="dxa"/>
            <w:gridSpan w:val="2"/>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调出</w:t>
            </w:r>
          </w:p>
        </w:tc>
        <w:tc>
          <w:tcPr>
            <w:tcW w:w="2342" w:type="dxa"/>
            <w:gridSpan w:val="2"/>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弃方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blHeader/>
        </w:trPr>
        <w:tc>
          <w:tcPr>
            <w:tcW w:w="2818" w:type="dxa"/>
            <w:gridSpan w:val="3"/>
            <w:vMerge w:val="continue"/>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数量</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来源</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数量</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去向</w:t>
            </w: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自然方</w:t>
            </w:r>
          </w:p>
        </w:tc>
        <w:tc>
          <w:tcPr>
            <w:tcW w:w="1621"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去向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restart"/>
            <w:tcBorders>
              <w:bottom w:val="nil"/>
            </w:tcBorders>
            <w:shd w:val="clear" w:color="auto" w:fill="auto"/>
            <w:textDirection w:val="tbRlV"/>
            <w:vAlign w:val="center"/>
          </w:tcPr>
          <w:p>
            <w:pPr>
              <w:pStyle w:val="52"/>
              <w:keepNext w:val="0"/>
              <w:keepLines w:val="0"/>
              <w:widowControl/>
              <w:suppressLineNumbers w:val="0"/>
              <w:spacing w:before="0" w:beforeAutospacing="0" w:after="0" w:afterAutospacing="0" w:line="240" w:lineRule="auto"/>
              <w:ind w:left="0" w:right="0"/>
            </w:pPr>
            <w:r>
              <w:rPr>
                <w:rFonts w:hint="eastAsia"/>
              </w:rPr>
              <w:t>变电站工程</w:t>
            </w:r>
          </w:p>
        </w:tc>
        <w:tc>
          <w:tcPr>
            <w:tcW w:w="2202" w:type="dxa"/>
            <w:gridSpan w:val="2"/>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lang w:val="en-US" w:eastAsia="zh-CN"/>
              </w:rPr>
              <w:t>①</w:t>
            </w:r>
            <w:r>
              <w:rPr>
                <w:rFonts w:hint="eastAsia"/>
              </w:rPr>
              <w:t>场平施工</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0.03</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0.08</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0.05</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②③</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lang w:val="en-US" w:eastAsia="zh-CN"/>
              </w:rPr>
            </w:pPr>
            <w:r>
              <w:rPr>
                <w:rFonts w:hint="eastAsia"/>
                <w:lang w:val="en-US" w:eastAsia="zh-CN"/>
              </w:rPr>
              <w:t>0</w:t>
            </w:r>
          </w:p>
        </w:tc>
        <w:tc>
          <w:tcPr>
            <w:tcW w:w="1621" w:type="dxa"/>
            <w:vMerge w:val="restart"/>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取消弃土点，余方用于场地平整处理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continue"/>
            <w:shd w:val="clear" w:color="auto" w:fill="auto"/>
            <w:textDirection w:val="tbRlV"/>
            <w:vAlign w:val="center"/>
          </w:tcPr>
          <w:p>
            <w:pPr>
              <w:pStyle w:val="52"/>
              <w:keepNext w:val="0"/>
              <w:keepLines w:val="0"/>
              <w:widowControl/>
              <w:suppressLineNumbers w:val="0"/>
              <w:spacing w:before="0" w:beforeAutospacing="0" w:after="0" w:afterAutospacing="0" w:line="240" w:lineRule="auto"/>
              <w:ind w:left="0" w:right="0"/>
              <w:rPr>
                <w:rFonts w:hint="eastAsia"/>
              </w:rPr>
            </w:pPr>
          </w:p>
        </w:tc>
        <w:tc>
          <w:tcPr>
            <w:tcW w:w="2202"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ascii="宋体" w:hAnsi="宋体" w:eastAsia="仿宋_GB2312" w:cs="宋体"/>
                <w:lang w:val="en-US" w:eastAsia="zh-CN"/>
              </w:rPr>
            </w:pPr>
            <w:r>
              <w:rPr>
                <w:rFonts w:hint="eastAsia"/>
                <w:lang w:val="en-US" w:eastAsia="zh-CN"/>
              </w:rPr>
              <w:t>②清除耕植土</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lang w:val="en-US" w:eastAsia="zh-CN"/>
              </w:rPr>
            </w:pPr>
            <w:r>
              <w:rPr>
                <w:rFonts w:hint="eastAsia"/>
                <w:lang w:val="en-US" w:eastAsia="zh-CN"/>
              </w:rPr>
              <w:t>0.02</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lang w:val="en-US" w:eastAsia="zh-CN"/>
              </w:rPr>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lang w:val="en-US" w:eastAsia="zh-CN"/>
              </w:rPr>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lang w:val="en-US" w:eastAsia="zh-CN"/>
              </w:rPr>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0.02</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lang w:val="en-US" w:eastAsia="zh-CN"/>
              </w:rPr>
            </w:pPr>
            <w:r>
              <w:rPr>
                <w:rFonts w:hint="eastAsia"/>
                <w:lang w:val="en-US" w:eastAsia="zh-CN"/>
              </w:rPr>
              <w:t>①</w:t>
            </w: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w:t>
            </w:r>
          </w:p>
        </w:tc>
        <w:tc>
          <w:tcPr>
            <w:tcW w:w="1621"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continue"/>
            <w:tcBorders>
              <w:bottom w:val="nil"/>
            </w:tcBorders>
            <w:shd w:val="clear" w:color="auto" w:fill="auto"/>
            <w:vAlign w:val="center"/>
          </w:tcPr>
          <w:p>
            <w:pPr>
              <w:pStyle w:val="52"/>
              <w:keepNext w:val="0"/>
              <w:keepLines w:val="0"/>
              <w:widowControl/>
              <w:suppressLineNumbers w:val="0"/>
              <w:spacing w:before="0" w:beforeAutospacing="0" w:after="0" w:afterAutospacing="0" w:line="240" w:lineRule="auto"/>
              <w:ind w:left="0" w:right="0"/>
            </w:pPr>
          </w:p>
        </w:tc>
        <w:tc>
          <w:tcPr>
            <w:tcW w:w="2202" w:type="dxa"/>
            <w:gridSpan w:val="2"/>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lang w:val="en-US" w:eastAsia="zh-CN"/>
              </w:rPr>
              <w:t>③</w:t>
            </w:r>
            <w:r>
              <w:rPr>
                <w:rFonts w:hint="eastAsia"/>
              </w:rPr>
              <w:t>建筑物基础</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0.03</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0.03</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①</w:t>
            </w: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w:t>
            </w:r>
          </w:p>
        </w:tc>
        <w:tc>
          <w:tcPr>
            <w:tcW w:w="1621"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continue"/>
            <w:tcBorders>
              <w:bottom w:val="nil"/>
            </w:tcBorders>
            <w:shd w:val="clear" w:color="auto" w:fill="auto"/>
            <w:vAlign w:val="center"/>
          </w:tcPr>
          <w:p>
            <w:pPr>
              <w:pStyle w:val="52"/>
              <w:keepNext w:val="0"/>
              <w:keepLines w:val="0"/>
              <w:widowControl/>
              <w:suppressLineNumbers w:val="0"/>
              <w:spacing w:before="0" w:beforeAutospacing="0" w:after="0" w:afterAutospacing="0" w:line="240" w:lineRule="auto"/>
              <w:ind w:left="0" w:right="0"/>
            </w:pPr>
          </w:p>
        </w:tc>
        <w:tc>
          <w:tcPr>
            <w:tcW w:w="2202" w:type="dxa"/>
            <w:gridSpan w:val="2"/>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lang w:val="en-US" w:eastAsia="zh-CN"/>
              </w:rPr>
              <w:t>④</w:t>
            </w:r>
            <w:r>
              <w:rPr>
                <w:rFonts w:hint="eastAsia"/>
              </w:rPr>
              <w:t>进站道路</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0.01</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0.01</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lang w:val="en-US" w:eastAsia="zh-CN"/>
              </w:rPr>
            </w:pPr>
            <w:r>
              <w:rPr>
                <w:rFonts w:hint="eastAsia"/>
                <w:lang w:val="en-US" w:eastAsia="zh-CN"/>
              </w:rPr>
              <w:t>0</w:t>
            </w:r>
          </w:p>
        </w:tc>
        <w:tc>
          <w:tcPr>
            <w:tcW w:w="1621"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continue"/>
            <w:tcBorders>
              <w:bottom w:val="nil"/>
            </w:tcBorders>
            <w:shd w:val="clear" w:color="auto" w:fill="auto"/>
            <w:vAlign w:val="center"/>
          </w:tcPr>
          <w:p>
            <w:pPr>
              <w:pStyle w:val="52"/>
              <w:keepNext w:val="0"/>
              <w:keepLines w:val="0"/>
              <w:widowControl/>
              <w:suppressLineNumbers w:val="0"/>
              <w:spacing w:before="0" w:beforeAutospacing="0" w:after="0" w:afterAutospacing="0" w:line="240" w:lineRule="auto"/>
              <w:ind w:left="0" w:right="0"/>
            </w:pPr>
          </w:p>
        </w:tc>
        <w:tc>
          <w:tcPr>
            <w:tcW w:w="2202" w:type="dxa"/>
            <w:gridSpan w:val="2"/>
            <w:shd w:val="clear" w:color="auto" w:fill="auto"/>
            <w:vAlign w:val="center"/>
          </w:tcPr>
          <w:p>
            <w:pPr>
              <w:pStyle w:val="52"/>
              <w:keepNext w:val="0"/>
              <w:keepLines w:val="0"/>
              <w:widowControl/>
              <w:suppressLineNumbers w:val="0"/>
              <w:spacing w:before="0" w:beforeAutospacing="0" w:after="0" w:afterAutospacing="0"/>
              <w:ind w:left="0" w:right="0"/>
              <w:rPr>
                <w:b w:val="0"/>
                <w:bCs w:val="0"/>
              </w:rPr>
            </w:pPr>
            <w:r>
              <w:rPr>
                <w:rFonts w:hint="eastAsia"/>
                <w:b w:val="0"/>
                <w:bCs w:val="0"/>
              </w:rPr>
              <w:t>小计</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val="0"/>
                <w:bCs w:val="0"/>
                <w:lang w:val="en-US" w:eastAsia="zh-CN"/>
              </w:rPr>
            </w:pPr>
            <w:r>
              <w:rPr>
                <w:rFonts w:hint="eastAsia"/>
                <w:b w:val="0"/>
                <w:bCs w:val="0"/>
                <w:lang w:val="en-US" w:eastAsia="zh-CN"/>
              </w:rPr>
              <w:t>0.09</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val="0"/>
                <w:bCs w:val="0"/>
                <w:lang w:val="en-US" w:eastAsia="zh-CN"/>
              </w:rPr>
            </w:pPr>
            <w:r>
              <w:rPr>
                <w:rFonts w:hint="eastAsia"/>
                <w:b w:val="0"/>
                <w:bCs w:val="0"/>
                <w:lang w:val="en-US" w:eastAsia="zh-CN"/>
              </w:rPr>
              <w:t>0.09</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val="0"/>
                <w:bCs w:val="0"/>
                <w:lang w:val="en-US" w:eastAsia="zh-CN"/>
              </w:rPr>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b w:val="0"/>
                <w:bCs w:val="0"/>
              </w:rPr>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val="0"/>
                <w:bCs w:val="0"/>
                <w:lang w:val="en-US" w:eastAsia="zh-CN"/>
              </w:rPr>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b w:val="0"/>
                <w:bCs w:val="0"/>
              </w:rPr>
            </w:pP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val="0"/>
                <w:bCs w:val="0"/>
                <w:lang w:val="en-US" w:eastAsia="zh-CN"/>
              </w:rPr>
            </w:pPr>
            <w:r>
              <w:rPr>
                <w:rFonts w:hint="eastAsia"/>
                <w:b w:val="0"/>
                <w:bCs w:val="0"/>
                <w:lang w:val="en-US" w:eastAsia="zh-CN"/>
              </w:rPr>
              <w:t>0</w:t>
            </w:r>
          </w:p>
        </w:tc>
        <w:tc>
          <w:tcPr>
            <w:tcW w:w="1621"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restart"/>
            <w:tcBorders>
              <w:bottom w:val="nil"/>
            </w:tcBorders>
            <w:shd w:val="clear" w:color="auto" w:fill="auto"/>
            <w:textDirection w:val="tbRlV"/>
            <w:vAlign w:val="center"/>
          </w:tcPr>
          <w:p>
            <w:pPr>
              <w:pStyle w:val="52"/>
              <w:keepNext w:val="0"/>
              <w:keepLines w:val="0"/>
              <w:widowControl/>
              <w:suppressLineNumbers w:val="0"/>
              <w:spacing w:before="0" w:beforeAutospacing="0" w:after="0" w:afterAutospacing="0" w:line="240" w:lineRule="auto"/>
              <w:ind w:left="0" w:right="0"/>
            </w:pPr>
            <w:r>
              <w:rPr>
                <w:rFonts w:hint="eastAsia"/>
              </w:rPr>
              <w:t>线路工程</w:t>
            </w:r>
          </w:p>
        </w:tc>
        <w:tc>
          <w:tcPr>
            <w:tcW w:w="624" w:type="dxa"/>
            <w:vMerge w:val="restart"/>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塔基</w:t>
            </w:r>
          </w:p>
        </w:tc>
        <w:tc>
          <w:tcPr>
            <w:tcW w:w="1578"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lang w:val="en-US" w:eastAsia="zh-CN"/>
              </w:rPr>
              <w:t>剥离</w:t>
            </w:r>
            <w:r>
              <w:rPr>
                <w:rFonts w:hint="eastAsia"/>
              </w:rPr>
              <w:t>表土</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0.05</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0.05</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r>
              <w:t>　</w:t>
            </w: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lang w:val="en-US" w:eastAsia="zh-CN"/>
              </w:rPr>
              <w:t>0</w:t>
            </w:r>
            <w:r>
              <w:t>　</w:t>
            </w:r>
          </w:p>
        </w:tc>
        <w:tc>
          <w:tcPr>
            <w:tcW w:w="1621" w:type="dxa"/>
            <w:vMerge w:val="restart"/>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　</w:t>
            </w:r>
          </w:p>
          <w:p>
            <w:pPr>
              <w:pStyle w:val="52"/>
              <w:keepNext w:val="0"/>
              <w:keepLines w:val="0"/>
              <w:widowControl/>
              <w:suppressLineNumbers w:val="0"/>
              <w:spacing w:before="0" w:beforeAutospacing="0" w:after="0" w:afterAutospacing="0"/>
              <w:ind w:left="0" w:right="0"/>
            </w:pPr>
            <w:r>
              <w:rPr>
                <w:rFonts w:hint="eastAsia"/>
              </w:rPr>
              <w:t>塔基及塔基施工临时占地区内平摊处理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continue"/>
            <w:tcBorders>
              <w:bottom w:val="nil"/>
            </w:tcBorders>
            <w:shd w:val="clear" w:color="auto" w:fill="auto"/>
            <w:vAlign w:val="center"/>
          </w:tcPr>
          <w:p>
            <w:pPr>
              <w:pStyle w:val="52"/>
              <w:keepNext w:val="0"/>
              <w:keepLines w:val="0"/>
              <w:widowControl/>
              <w:suppressLineNumbers w:val="0"/>
              <w:spacing w:before="0" w:beforeAutospacing="0" w:after="0" w:afterAutospacing="0"/>
              <w:ind w:left="0" w:right="0"/>
            </w:pPr>
          </w:p>
        </w:tc>
        <w:tc>
          <w:tcPr>
            <w:tcW w:w="624"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c>
          <w:tcPr>
            <w:tcW w:w="1578"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lang w:val="en-US" w:eastAsia="zh-CN"/>
              </w:rPr>
              <w:t>基面及</w:t>
            </w:r>
            <w:r>
              <w:rPr>
                <w:rFonts w:hint="eastAsia"/>
              </w:rPr>
              <w:t>塔基基础</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0.13</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lang w:val="en-US" w:eastAsia="zh-CN"/>
              </w:rPr>
              <w:t>0.13</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jc w:val="center"/>
              <w:rPr>
                <w:rFonts w:hint="default" w:eastAsia="仿宋_GB2312"/>
                <w:lang w:val="en-US" w:eastAsia="zh-CN"/>
              </w:rPr>
            </w:pPr>
            <w:r>
              <w:rPr>
                <w:rFonts w:hint="eastAsia"/>
                <w:lang w:val="en-US" w:eastAsia="zh-CN"/>
              </w:rPr>
              <w:t>0</w:t>
            </w:r>
          </w:p>
        </w:tc>
        <w:tc>
          <w:tcPr>
            <w:tcW w:w="1621"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continue"/>
            <w:tcBorders>
              <w:bottom w:val="nil"/>
            </w:tcBorders>
            <w:shd w:val="clear" w:color="auto" w:fill="auto"/>
            <w:vAlign w:val="center"/>
          </w:tcPr>
          <w:p>
            <w:pPr>
              <w:pStyle w:val="52"/>
              <w:keepNext w:val="0"/>
              <w:keepLines w:val="0"/>
              <w:widowControl/>
              <w:suppressLineNumbers w:val="0"/>
              <w:spacing w:before="0" w:beforeAutospacing="0" w:after="0" w:afterAutospacing="0"/>
              <w:ind w:left="0" w:right="0"/>
            </w:pPr>
          </w:p>
        </w:tc>
        <w:tc>
          <w:tcPr>
            <w:tcW w:w="624"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c>
          <w:tcPr>
            <w:tcW w:w="1578"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挡土墙</w:t>
            </w:r>
            <w:r>
              <w:t>/</w:t>
            </w:r>
            <w:r>
              <w:rPr>
                <w:rFonts w:hint="eastAsia"/>
              </w:rPr>
              <w:t>排水沟</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0.02</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0.02</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w:t>
            </w:r>
          </w:p>
        </w:tc>
        <w:tc>
          <w:tcPr>
            <w:tcW w:w="1621"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continue"/>
            <w:tcBorders>
              <w:bottom w:val="nil"/>
            </w:tcBorders>
            <w:shd w:val="clear" w:color="auto" w:fill="auto"/>
            <w:vAlign w:val="center"/>
          </w:tcPr>
          <w:p>
            <w:pPr>
              <w:pStyle w:val="52"/>
              <w:keepNext w:val="0"/>
              <w:keepLines w:val="0"/>
              <w:widowControl/>
              <w:suppressLineNumbers w:val="0"/>
              <w:spacing w:before="0" w:beforeAutospacing="0" w:after="0" w:afterAutospacing="0"/>
              <w:ind w:left="0" w:right="0"/>
            </w:pPr>
          </w:p>
        </w:tc>
        <w:tc>
          <w:tcPr>
            <w:tcW w:w="624"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c>
          <w:tcPr>
            <w:tcW w:w="1578"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接地槽</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0.18</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0.18</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lang w:val="en-US" w:eastAsia="zh-CN"/>
              </w:rPr>
            </w:pPr>
            <w:r>
              <w:rPr>
                <w:rFonts w:hint="eastAsia"/>
                <w:lang w:val="en-US" w:eastAsia="zh-CN"/>
              </w:rPr>
              <w:t>0</w:t>
            </w:r>
          </w:p>
        </w:tc>
        <w:tc>
          <w:tcPr>
            <w:tcW w:w="1621"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continue"/>
            <w:tcBorders>
              <w:bottom w:val="nil"/>
            </w:tcBorders>
            <w:shd w:val="clear" w:color="auto" w:fill="auto"/>
            <w:vAlign w:val="center"/>
          </w:tcPr>
          <w:p>
            <w:pPr>
              <w:pStyle w:val="52"/>
              <w:keepNext w:val="0"/>
              <w:keepLines w:val="0"/>
              <w:widowControl/>
              <w:suppressLineNumbers w:val="0"/>
              <w:spacing w:before="0" w:beforeAutospacing="0" w:after="0" w:afterAutospacing="0"/>
              <w:ind w:left="0" w:right="0"/>
            </w:pPr>
          </w:p>
        </w:tc>
        <w:tc>
          <w:tcPr>
            <w:tcW w:w="2202" w:type="dxa"/>
            <w:gridSpan w:val="2"/>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电缆工程</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0.01</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0.01</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lang w:val="en-US" w:eastAsia="zh-CN"/>
              </w:rPr>
            </w:pPr>
            <w:r>
              <w:rPr>
                <w:rFonts w:hint="eastAsia"/>
                <w:lang w:val="en-US" w:eastAsia="zh-CN"/>
              </w:rPr>
              <w:t>0</w:t>
            </w:r>
          </w:p>
        </w:tc>
        <w:tc>
          <w:tcPr>
            <w:tcW w:w="1621"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continue"/>
            <w:tcBorders>
              <w:bottom w:val="nil"/>
            </w:tcBorders>
            <w:shd w:val="clear" w:color="auto" w:fill="auto"/>
            <w:vAlign w:val="center"/>
          </w:tcPr>
          <w:p>
            <w:pPr>
              <w:pStyle w:val="52"/>
              <w:keepNext w:val="0"/>
              <w:keepLines w:val="0"/>
              <w:widowControl/>
              <w:suppressLineNumbers w:val="0"/>
              <w:spacing w:before="0" w:beforeAutospacing="0" w:after="0" w:afterAutospacing="0"/>
              <w:ind w:left="0" w:right="0"/>
            </w:pPr>
          </w:p>
        </w:tc>
        <w:tc>
          <w:tcPr>
            <w:tcW w:w="2202" w:type="dxa"/>
            <w:gridSpan w:val="2"/>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人抬道路</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0.07</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0.07</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lang w:val="en-US" w:eastAsia="zh-CN"/>
              </w:rPr>
            </w:pPr>
            <w:r>
              <w:rPr>
                <w:rFonts w:hint="eastAsia"/>
                <w:lang w:val="en-US" w:eastAsia="zh-CN"/>
              </w:rPr>
              <w:t>0</w:t>
            </w:r>
          </w:p>
        </w:tc>
        <w:tc>
          <w:tcPr>
            <w:tcW w:w="1621" w:type="dxa"/>
            <w:vMerge w:val="continue"/>
            <w:shd w:val="clear" w:color="auto" w:fill="auto"/>
            <w:vAlign w:val="center"/>
          </w:tcPr>
          <w:p>
            <w:pPr>
              <w:pStyle w:val="52"/>
              <w:keepNext w:val="0"/>
              <w:keepLines w:val="0"/>
              <w:widowControl/>
              <w:suppressLineNumbers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616" w:type="dxa"/>
            <w:vMerge w:val="continue"/>
            <w:tcBorders>
              <w:bottom w:val="nil"/>
            </w:tcBorders>
            <w:shd w:val="clear" w:color="auto" w:fill="auto"/>
            <w:vAlign w:val="center"/>
          </w:tcPr>
          <w:p>
            <w:pPr>
              <w:pStyle w:val="52"/>
              <w:keepNext w:val="0"/>
              <w:keepLines w:val="0"/>
              <w:widowControl/>
              <w:suppressLineNumbers w:val="0"/>
              <w:spacing w:before="0" w:beforeAutospacing="0" w:after="0" w:afterAutospacing="0"/>
              <w:ind w:left="0" w:right="0"/>
            </w:pPr>
          </w:p>
        </w:tc>
        <w:tc>
          <w:tcPr>
            <w:tcW w:w="2202" w:type="dxa"/>
            <w:gridSpan w:val="2"/>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小计</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0.46</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0.46</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pP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lang w:val="en-US" w:eastAsia="zh-CN"/>
              </w:rPr>
            </w:pPr>
            <w:r>
              <w:rPr>
                <w:rFonts w:hint="eastAsia"/>
                <w:lang w:val="en-US" w:eastAsia="zh-CN"/>
              </w:rPr>
              <w:t>0</w:t>
            </w:r>
          </w:p>
        </w:tc>
        <w:tc>
          <w:tcPr>
            <w:tcW w:w="1621" w:type="dxa"/>
            <w:shd w:val="clear" w:color="auto" w:fill="auto"/>
            <w:vAlign w:val="center"/>
          </w:tcPr>
          <w:p>
            <w:pPr>
              <w:pStyle w:val="52"/>
              <w:keepNext w:val="0"/>
              <w:keepLines w:val="0"/>
              <w:widowControl/>
              <w:suppressLineNumbers w:val="0"/>
              <w:spacing w:before="0" w:beforeAutospacing="0" w:after="0" w:afterAutospacing="0"/>
              <w:ind w:left="0" w:right="0"/>
            </w:pPr>
            <w:r>
              <w:rPr>
                <w:rFonts w:hint="eastAsi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40" w:hRule="atLeast"/>
        </w:trPr>
        <w:tc>
          <w:tcPr>
            <w:tcW w:w="2818" w:type="dxa"/>
            <w:gridSpan w:val="3"/>
            <w:shd w:val="clear" w:color="auto" w:fill="auto"/>
            <w:vAlign w:val="center"/>
          </w:tcPr>
          <w:p>
            <w:pPr>
              <w:pStyle w:val="52"/>
              <w:keepNext w:val="0"/>
              <w:keepLines w:val="0"/>
              <w:widowControl/>
              <w:suppressLineNumbers w:val="0"/>
              <w:spacing w:before="0" w:beforeAutospacing="0" w:after="0" w:afterAutospacing="0"/>
              <w:ind w:left="0" w:right="0"/>
              <w:rPr>
                <w:b/>
                <w:bCs/>
              </w:rPr>
            </w:pPr>
            <w:r>
              <w:rPr>
                <w:rFonts w:hint="eastAsia"/>
                <w:b/>
                <w:bCs/>
              </w:rPr>
              <w:t>合计</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bCs/>
                <w:lang w:val="en-US" w:eastAsia="zh-CN"/>
              </w:rPr>
            </w:pPr>
            <w:r>
              <w:rPr>
                <w:rFonts w:hint="eastAsia"/>
                <w:b/>
                <w:bCs/>
                <w:lang w:val="en-US" w:eastAsia="zh-CN"/>
              </w:rPr>
              <w:t>0.55</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bCs/>
                <w:lang w:val="en-US" w:eastAsia="zh-CN"/>
              </w:rPr>
            </w:pPr>
            <w:r>
              <w:rPr>
                <w:rFonts w:hint="eastAsia"/>
                <w:b/>
                <w:bCs/>
                <w:lang w:val="en-US" w:eastAsia="zh-CN"/>
              </w:rPr>
              <w:t>0.55</w:t>
            </w: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bCs/>
                <w:lang w:val="en-US" w:eastAsia="zh-CN"/>
              </w:rPr>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b/>
                <w:bCs/>
              </w:rPr>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b/>
                <w:bCs/>
                <w:lang w:val="en-US" w:eastAsia="zh-CN"/>
              </w:rPr>
            </w:pPr>
          </w:p>
        </w:tc>
        <w:tc>
          <w:tcPr>
            <w:tcW w:w="528" w:type="dxa"/>
            <w:shd w:val="clear" w:color="auto" w:fill="auto"/>
            <w:vAlign w:val="center"/>
          </w:tcPr>
          <w:p>
            <w:pPr>
              <w:pStyle w:val="52"/>
              <w:keepNext w:val="0"/>
              <w:keepLines w:val="0"/>
              <w:widowControl/>
              <w:suppressLineNumbers w:val="0"/>
              <w:spacing w:before="0" w:beforeAutospacing="0" w:after="0" w:afterAutospacing="0"/>
              <w:ind w:left="0" w:right="0"/>
              <w:rPr>
                <w:b/>
                <w:bCs/>
              </w:rPr>
            </w:pPr>
          </w:p>
        </w:tc>
        <w:tc>
          <w:tcPr>
            <w:tcW w:w="72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bCs/>
                <w:lang w:val="en-US" w:eastAsia="zh-CN"/>
              </w:rPr>
            </w:pPr>
            <w:r>
              <w:rPr>
                <w:rFonts w:hint="eastAsia"/>
                <w:b/>
                <w:bCs/>
                <w:lang w:val="en-US" w:eastAsia="zh-CN"/>
              </w:rPr>
              <w:t>0</w:t>
            </w:r>
          </w:p>
        </w:tc>
        <w:tc>
          <w:tcPr>
            <w:tcW w:w="1621" w:type="dxa"/>
            <w:shd w:val="clear" w:color="auto" w:fill="auto"/>
            <w:vAlign w:val="center"/>
          </w:tcPr>
          <w:p>
            <w:pPr>
              <w:pStyle w:val="52"/>
              <w:keepNext w:val="0"/>
              <w:keepLines w:val="0"/>
              <w:widowControl/>
              <w:suppressLineNumbers w:val="0"/>
              <w:spacing w:before="0" w:beforeAutospacing="0" w:after="0" w:afterAutospacing="0"/>
              <w:ind w:left="0" w:right="0"/>
            </w:pPr>
            <w:r>
              <w:t>　</w:t>
            </w:r>
          </w:p>
        </w:tc>
      </w:tr>
    </w:tbl>
    <w:p>
      <w:pPr>
        <w:spacing w:before="120"/>
        <w:ind w:firstLine="480"/>
      </w:pPr>
      <w:bookmarkStart w:id="19" w:name="_Toc515873300"/>
      <w:r>
        <w:rPr>
          <w:rFonts w:hint="eastAsia"/>
        </w:rPr>
        <w:t>工程实际挖填土石方</w:t>
      </w:r>
      <w:r>
        <w:rPr>
          <w:rFonts w:hint="eastAsia"/>
          <w:lang w:val="en-US" w:eastAsia="zh-CN"/>
        </w:rPr>
        <w:t>与</w:t>
      </w:r>
      <w:r>
        <w:rPr>
          <w:rFonts w:hint="eastAsia"/>
        </w:rPr>
        <w:t>水土保持方案</w:t>
      </w:r>
      <w:r>
        <w:rPr>
          <w:rFonts w:hint="eastAsia"/>
          <w:lang w:val="en-US" w:eastAsia="zh-CN"/>
        </w:rPr>
        <w:t>基本无</w:t>
      </w:r>
      <w:r>
        <w:rPr>
          <w:rFonts w:hint="eastAsia"/>
        </w:rPr>
        <w:t>变化，</w:t>
      </w:r>
      <w:r>
        <w:rPr>
          <w:rFonts w:hint="eastAsia" w:ascii="Times New Roman" w:hAnsi="Times New Roman" w:eastAsia="仿宋_GB2312" w:cs="Times New Roman"/>
          <w:kern w:val="2"/>
          <w:sz w:val="24"/>
          <w:szCs w:val="24"/>
          <w:lang w:val="en-US" w:eastAsia="zh-CN" w:bidi="ar"/>
        </w:rPr>
        <w:t>各分区余方均用于变电站区域、塔基及塔基施工临时占地区进行摊平处理，不设置弃土场</w:t>
      </w:r>
      <w:r>
        <w:rPr>
          <w:rFonts w:hint="eastAsia"/>
        </w:rPr>
        <w:t>。</w:t>
      </w:r>
    </w:p>
    <w:p>
      <w:pPr>
        <w:pStyle w:val="4"/>
        <w:spacing w:before="120"/>
      </w:pPr>
      <w:r>
        <w:t>征占地情况</w:t>
      </w:r>
      <w:bookmarkEnd w:id="19"/>
    </w:p>
    <w:p>
      <w:pPr>
        <w:pStyle w:val="5"/>
        <w:spacing w:before="120"/>
      </w:pPr>
      <w:r>
        <w:rPr>
          <w:rFonts w:hint="eastAsia"/>
        </w:rPr>
        <w:t>方案批复征占地情况</w:t>
      </w:r>
    </w:p>
    <w:p>
      <w:pPr>
        <w:spacing w:before="120"/>
        <w:ind w:firstLine="480"/>
      </w:pPr>
      <w:r>
        <w:t>项目总占地面积为</w:t>
      </w:r>
      <w:r>
        <w:rPr>
          <w:rFonts w:hint="eastAsia"/>
          <w:lang w:eastAsia="zh-CN"/>
        </w:rPr>
        <w:t>1.85</w:t>
      </w:r>
      <w:r>
        <w:t>hm</w:t>
      </w:r>
      <w:r>
        <w:rPr>
          <w:vertAlign w:val="superscript"/>
        </w:rPr>
        <w:t>2</w:t>
      </w:r>
      <w:r>
        <w:t>，其中永久占地</w:t>
      </w:r>
      <w:r>
        <w:rPr>
          <w:rFonts w:hint="eastAsia"/>
          <w:lang w:eastAsia="zh-CN"/>
        </w:rPr>
        <w:t>0.39</w:t>
      </w:r>
      <w:r>
        <w:t>hm</w:t>
      </w:r>
      <w:r>
        <w:rPr>
          <w:vertAlign w:val="superscript"/>
        </w:rPr>
        <w:t>2</w:t>
      </w:r>
      <w:r>
        <w:t>，临时占地</w:t>
      </w:r>
      <w:r>
        <w:rPr>
          <w:rFonts w:hint="eastAsia"/>
          <w:lang w:eastAsia="zh-CN"/>
        </w:rPr>
        <w:t>1.46</w:t>
      </w:r>
      <w:r>
        <w:t>hm</w:t>
      </w:r>
      <w:r>
        <w:rPr>
          <w:vertAlign w:val="superscript"/>
        </w:rPr>
        <w:t>2</w:t>
      </w:r>
      <w:r>
        <w:t>。占地类型主要有林地、草地</w:t>
      </w:r>
      <w:r>
        <w:rPr>
          <w:rFonts w:hint="eastAsia"/>
          <w:lang w:eastAsia="zh-CN"/>
        </w:rPr>
        <w:t>、</w:t>
      </w:r>
      <w:r>
        <w:t>其他土地。工程占地面积及占地类型详见</w:t>
      </w:r>
      <w:r>
        <w:rPr>
          <w:rFonts w:hint="eastAsia"/>
        </w:rPr>
        <w:t>下</w:t>
      </w:r>
      <w:r>
        <w:t>表。</w:t>
      </w:r>
    </w:p>
    <w:p>
      <w:pPr>
        <w:pStyle w:val="16"/>
      </w:pPr>
      <w:r>
        <w:t>工程</w:t>
      </w:r>
      <w:r>
        <w:rPr>
          <w:rFonts w:hint="eastAsia"/>
        </w:rPr>
        <w:t>占地</w:t>
      </w:r>
      <w:r>
        <w:t>面积统计表</w:t>
      </w:r>
      <w:r>
        <w:rPr>
          <w:vertAlign w:val="superscript"/>
        </w:rPr>
        <w:t xml:space="preserve">   </w:t>
      </w:r>
      <w:r>
        <w:t>单位：</w:t>
      </w:r>
      <w:r>
        <w:rPr>
          <w:vertAlign w:val="superscript"/>
        </w:rPr>
        <w:t xml:space="preserve"> </w:t>
      </w:r>
      <w:r>
        <w:t>hm²</w:t>
      </w:r>
    </w:p>
    <w:p>
      <w:pPr>
        <w:pStyle w:val="13"/>
      </w:pPr>
      <w:r>
        <w:rPr>
          <w:rFonts w:hint="eastAsia"/>
        </w:rPr>
        <w:t xml:space="preserve">表 </w:t>
      </w:r>
      <w:r>
        <w:fldChar w:fldCharType="begin"/>
      </w:r>
      <w:r>
        <w:instrText xml:space="preserve"> STYLEREF 2 \s </w:instrText>
      </w:r>
      <w:r>
        <w:fldChar w:fldCharType="separate"/>
      </w:r>
      <w:r>
        <w:t>1.1</w:t>
      </w:r>
      <w:r>
        <w:fldChar w:fldCharType="end"/>
      </w:r>
      <w:r>
        <w:noBreakHyphen/>
      </w:r>
      <w:r>
        <w:fldChar w:fldCharType="begin"/>
      </w:r>
      <w:r>
        <w:instrText xml:space="preserve"> </w:instrText>
      </w:r>
      <w:r>
        <w:rPr>
          <w:rFonts w:hint="eastAsia"/>
        </w:rPr>
        <w:instrText xml:space="preserve">SEQ 表 \* ARABIC \s 2</w:instrText>
      </w:r>
      <w:r>
        <w:instrText xml:space="preserve"> </w:instrText>
      </w:r>
      <w:r>
        <w:fldChar w:fldCharType="separate"/>
      </w:r>
      <w:r>
        <w:t>6</w:t>
      </w:r>
      <w:r>
        <w:fldChar w:fldCharType="end"/>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1" w:type="dxa"/>
          <w:bottom w:w="0" w:type="dxa"/>
          <w:right w:w="11" w:type="dxa"/>
        </w:tblCellMar>
      </w:tblPr>
      <w:tblGrid>
        <w:gridCol w:w="1483"/>
        <w:gridCol w:w="2412"/>
        <w:gridCol w:w="558"/>
        <w:gridCol w:w="558"/>
        <w:gridCol w:w="1088"/>
        <w:gridCol w:w="558"/>
        <w:gridCol w:w="558"/>
        <w:gridCol w:w="558"/>
        <w:gridCol w:w="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1" w:type="dxa"/>
            <w:bottom w:w="0" w:type="dxa"/>
            <w:right w:w="11" w:type="dxa"/>
          </w:tblCellMar>
        </w:tblPrEx>
        <w:trPr>
          <w:trHeight w:val="340" w:hRule="atLeast"/>
        </w:trPr>
        <w:tc>
          <w:tcPr>
            <w:tcW w:w="389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项目组成</w:t>
            </w:r>
          </w:p>
        </w:tc>
        <w:tc>
          <w:tcPr>
            <w:tcW w:w="220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占地类型</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Cs w:val="16"/>
                <w:lang w:val="en-US"/>
              </w:rPr>
            </w:pPr>
            <w:r>
              <w:rPr>
                <w:rFonts w:hint="eastAsia" w:ascii="Times New Roman" w:hAnsi="Times New Roman" w:eastAsia="仿宋_GB2312" w:cs="仿宋_GB2312"/>
                <w:snapToGrid/>
                <w:color w:val="000000"/>
                <w:kern w:val="2"/>
                <w:sz w:val="21"/>
                <w:szCs w:val="16"/>
                <w:lang w:val="en-US" w:eastAsia="zh-CN" w:bidi="ar"/>
              </w:rPr>
              <w:t>　</w:t>
            </w:r>
          </w:p>
        </w:tc>
        <w:tc>
          <w:tcPr>
            <w:tcW w:w="167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占地性质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林地</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草地</w:t>
            </w:r>
          </w:p>
        </w:tc>
        <w:tc>
          <w:tcPr>
            <w:tcW w:w="10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其他土地</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小计</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永久</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临时</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4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变电站工程</w:t>
            </w:r>
          </w:p>
        </w:tc>
        <w:tc>
          <w:tcPr>
            <w:tcW w:w="24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cs="仿宋_GB2312"/>
                <w:snapToGrid/>
                <w:color w:val="000000"/>
                <w:kern w:val="2"/>
                <w:sz w:val="21"/>
                <w:szCs w:val="18"/>
                <w:lang w:val="en-US" w:eastAsia="zh-CN" w:bidi="ar"/>
              </w:rPr>
              <w:t>柯拉</w:t>
            </w:r>
            <w:r>
              <w:rPr>
                <w:rFonts w:hint="default" w:ascii="Times New Roman" w:hAnsi="Times New Roman" w:eastAsia="仿宋_GB2312" w:cs="Times New Roman"/>
                <w:snapToGrid/>
                <w:color w:val="000000"/>
                <w:kern w:val="2"/>
                <w:sz w:val="21"/>
                <w:szCs w:val="18"/>
                <w:lang w:val="en-US" w:eastAsia="zh-CN" w:bidi="ar"/>
              </w:rPr>
              <w:t xml:space="preserve"> 35kV </w:t>
            </w:r>
            <w:r>
              <w:rPr>
                <w:rFonts w:hint="eastAsia" w:ascii="Times New Roman" w:hAnsi="Times New Roman" w:eastAsia="仿宋_GB2312" w:cs="仿宋_GB2312"/>
                <w:snapToGrid/>
                <w:color w:val="000000"/>
                <w:kern w:val="2"/>
                <w:sz w:val="21"/>
                <w:szCs w:val="18"/>
                <w:lang w:val="en-US" w:eastAsia="zh-CN" w:bidi="ar"/>
              </w:rPr>
              <w:t>变电站</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0.13</w:t>
            </w:r>
          </w:p>
        </w:tc>
        <w:tc>
          <w:tcPr>
            <w:tcW w:w="10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0.13</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0.13</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4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24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施工场地</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0.02</w:t>
            </w:r>
          </w:p>
        </w:tc>
        <w:tc>
          <w:tcPr>
            <w:tcW w:w="10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0.02</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0.02</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4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24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弃土点</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0.04</w:t>
            </w:r>
          </w:p>
        </w:tc>
        <w:tc>
          <w:tcPr>
            <w:tcW w:w="10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0.04</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0.04</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4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24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小计</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0.19</w:t>
            </w:r>
          </w:p>
        </w:tc>
        <w:tc>
          <w:tcPr>
            <w:tcW w:w="10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0.19</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0.13</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0.06</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4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线路工程</w:t>
            </w:r>
          </w:p>
        </w:tc>
        <w:tc>
          <w:tcPr>
            <w:tcW w:w="24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电缆工程</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0.01</w:t>
            </w:r>
          </w:p>
        </w:tc>
        <w:tc>
          <w:tcPr>
            <w:tcW w:w="10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0.01</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0.01</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4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24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塔基及塔基临时占地</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0.06</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0.60</w:t>
            </w:r>
          </w:p>
        </w:tc>
        <w:tc>
          <w:tcPr>
            <w:tcW w:w="10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0.18</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0.84</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0.26</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0.58</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4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24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其他临时占地</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0.11</w:t>
            </w:r>
          </w:p>
        </w:tc>
        <w:tc>
          <w:tcPr>
            <w:tcW w:w="10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0.11</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0.11</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4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24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人抬道路</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0.62</w:t>
            </w:r>
          </w:p>
        </w:tc>
        <w:tc>
          <w:tcPr>
            <w:tcW w:w="10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0.08</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0.70</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0.70</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4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24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小计</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0.06</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1.34</w:t>
            </w:r>
          </w:p>
        </w:tc>
        <w:tc>
          <w:tcPr>
            <w:tcW w:w="10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0.26</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1.66</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0.26</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1.40</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b/>
                <w:bCs/>
                <w:kern w:val="2"/>
                <w:lang w:val="en-US"/>
              </w:rPr>
            </w:pPr>
            <w:r>
              <w:rPr>
                <w:rFonts w:hint="eastAsia" w:ascii="Times New Roman" w:hAnsi="Times New Roman" w:eastAsia="仿宋_GB2312" w:cs="仿宋_GB2312"/>
                <w:b/>
                <w:bCs/>
                <w:snapToGrid/>
                <w:color w:val="000000"/>
                <w:kern w:val="2"/>
                <w:sz w:val="21"/>
                <w:szCs w:val="18"/>
                <w:lang w:val="en-US" w:eastAsia="zh-CN" w:bidi="ar"/>
              </w:rPr>
              <w:t>合计</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b/>
                <w:bCs/>
                <w:kern w:val="2"/>
                <w:sz w:val="21"/>
                <w:szCs w:val="21"/>
                <w:lang w:val="en-US" w:eastAsia="zh-CN"/>
              </w:rPr>
            </w:pPr>
            <w:r>
              <w:rPr>
                <w:rFonts w:hint="eastAsia"/>
                <w:b/>
                <w:bCs/>
                <w:kern w:val="2"/>
                <w:sz w:val="21"/>
                <w:szCs w:val="21"/>
                <w:lang w:val="en-US" w:eastAsia="zh-CN"/>
              </w:rPr>
              <w:t>0.06</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b/>
                <w:bCs/>
                <w:kern w:val="2"/>
                <w:sz w:val="21"/>
                <w:szCs w:val="21"/>
                <w:lang w:val="en-US" w:eastAsia="zh-CN"/>
              </w:rPr>
            </w:pPr>
            <w:r>
              <w:rPr>
                <w:rFonts w:hint="eastAsia"/>
                <w:b/>
                <w:bCs/>
                <w:kern w:val="2"/>
                <w:sz w:val="21"/>
                <w:szCs w:val="21"/>
                <w:lang w:val="en-US" w:eastAsia="zh-CN"/>
              </w:rPr>
              <w:t>1.53</w:t>
            </w:r>
          </w:p>
        </w:tc>
        <w:tc>
          <w:tcPr>
            <w:tcW w:w="10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b/>
                <w:bCs/>
                <w:kern w:val="2"/>
                <w:sz w:val="21"/>
                <w:szCs w:val="21"/>
                <w:lang w:val="en-US" w:eastAsia="zh-CN"/>
              </w:rPr>
            </w:pPr>
            <w:r>
              <w:rPr>
                <w:rFonts w:hint="eastAsia"/>
                <w:b/>
                <w:bCs/>
                <w:kern w:val="2"/>
                <w:sz w:val="21"/>
                <w:szCs w:val="21"/>
                <w:lang w:val="en-US" w:eastAsia="zh-CN"/>
              </w:rPr>
              <w:t>0.26</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b/>
                <w:bCs/>
                <w:kern w:val="2"/>
                <w:sz w:val="21"/>
                <w:szCs w:val="21"/>
                <w:lang w:val="en-US" w:eastAsia="zh-CN"/>
              </w:rPr>
            </w:pPr>
            <w:r>
              <w:rPr>
                <w:rFonts w:hint="eastAsia"/>
                <w:b/>
                <w:bCs/>
                <w:kern w:val="2"/>
                <w:sz w:val="21"/>
                <w:szCs w:val="21"/>
                <w:lang w:val="en-US" w:eastAsia="zh-CN"/>
              </w:rPr>
              <w:t>1.85</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b/>
                <w:bCs/>
                <w:kern w:val="2"/>
                <w:sz w:val="21"/>
                <w:szCs w:val="21"/>
                <w:lang w:val="en-US" w:eastAsia="zh-CN"/>
              </w:rPr>
            </w:pPr>
            <w:r>
              <w:rPr>
                <w:rFonts w:hint="eastAsia"/>
                <w:b/>
                <w:bCs/>
                <w:kern w:val="2"/>
                <w:sz w:val="21"/>
                <w:szCs w:val="21"/>
                <w:lang w:val="en-US" w:eastAsia="zh-CN"/>
              </w:rPr>
              <w:t>0.39</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b/>
                <w:bCs/>
                <w:kern w:val="2"/>
                <w:sz w:val="21"/>
                <w:szCs w:val="21"/>
                <w:lang w:val="en-US" w:eastAsia="zh-CN"/>
              </w:rPr>
            </w:pPr>
            <w:r>
              <w:rPr>
                <w:rFonts w:hint="eastAsia"/>
                <w:b/>
                <w:bCs/>
                <w:kern w:val="2"/>
                <w:sz w:val="21"/>
                <w:szCs w:val="21"/>
                <w:lang w:val="en-US" w:eastAsia="zh-CN"/>
              </w:rPr>
              <w:t>1.46</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b/>
                <w:bCs/>
                <w:kern w:val="2"/>
                <w:sz w:val="21"/>
                <w:szCs w:val="21"/>
                <w:lang w:val="en-US" w:eastAsia="zh-CN"/>
              </w:rPr>
            </w:pPr>
            <w:r>
              <w:rPr>
                <w:rFonts w:hint="eastAsia"/>
                <w:b/>
                <w:bCs/>
                <w:kern w:val="2"/>
                <w:sz w:val="21"/>
                <w:szCs w:val="21"/>
                <w:lang w:val="en-US" w:eastAsia="zh-CN"/>
              </w:rPr>
              <w:t>1.85</w:t>
            </w:r>
          </w:p>
        </w:tc>
      </w:tr>
    </w:tbl>
    <w:p>
      <w:pPr>
        <w:pStyle w:val="5"/>
        <w:spacing w:before="120"/>
      </w:pPr>
      <w:r>
        <w:rPr>
          <w:rFonts w:hint="eastAsia"/>
        </w:rPr>
        <w:t>施工实际征占地情况</w:t>
      </w:r>
    </w:p>
    <w:p>
      <w:pPr>
        <w:spacing w:before="120"/>
        <w:ind w:firstLine="480"/>
      </w:pPr>
      <w:r>
        <w:t>项目总占地面积为</w:t>
      </w:r>
      <w:r>
        <w:rPr>
          <w:rFonts w:hint="eastAsia"/>
          <w:lang w:eastAsia="zh-CN"/>
        </w:rPr>
        <w:t>1.81</w:t>
      </w:r>
      <w:r>
        <w:t>hm</w:t>
      </w:r>
      <w:r>
        <w:rPr>
          <w:vertAlign w:val="superscript"/>
        </w:rPr>
        <w:t>2</w:t>
      </w:r>
      <w:r>
        <w:t>，其中永久占地</w:t>
      </w:r>
      <w:r>
        <w:rPr>
          <w:rFonts w:hint="eastAsia"/>
          <w:lang w:eastAsia="zh-CN"/>
        </w:rPr>
        <w:t>0.39</w:t>
      </w:r>
      <w:r>
        <w:t>hm</w:t>
      </w:r>
      <w:r>
        <w:rPr>
          <w:vertAlign w:val="superscript"/>
        </w:rPr>
        <w:t>2</w:t>
      </w:r>
      <w:r>
        <w:t>，临时占地</w:t>
      </w:r>
      <w:r>
        <w:rPr>
          <w:rFonts w:hint="eastAsia"/>
          <w:lang w:val="en-US" w:eastAsia="zh-CN"/>
        </w:rPr>
        <w:t>1.42</w:t>
      </w:r>
      <w:r>
        <w:t>hm</w:t>
      </w:r>
      <w:r>
        <w:rPr>
          <w:vertAlign w:val="superscript"/>
        </w:rPr>
        <w:t>2</w:t>
      </w:r>
      <w:r>
        <w:t>。占地类型主要有林地、草地</w:t>
      </w:r>
      <w:r>
        <w:rPr>
          <w:rFonts w:hint="eastAsia"/>
          <w:lang w:eastAsia="zh-CN"/>
        </w:rPr>
        <w:t>、</w:t>
      </w:r>
      <w:r>
        <w:t>其他土地。工程占地面积及占地类型详见</w:t>
      </w:r>
      <w:r>
        <w:rPr>
          <w:rFonts w:hint="eastAsia"/>
        </w:rPr>
        <w:t>下</w:t>
      </w:r>
      <w:r>
        <w:t>表。</w:t>
      </w:r>
    </w:p>
    <w:p>
      <w:pPr>
        <w:pStyle w:val="16"/>
      </w:pPr>
      <w:bookmarkStart w:id="20" w:name="_Toc515873301"/>
      <w:r>
        <w:t>工程</w:t>
      </w:r>
      <w:r>
        <w:rPr>
          <w:rFonts w:hint="eastAsia"/>
        </w:rPr>
        <w:t>占地</w:t>
      </w:r>
      <w:r>
        <w:t>面积统计表</w:t>
      </w:r>
      <w:r>
        <w:rPr>
          <w:vertAlign w:val="superscript"/>
        </w:rPr>
        <w:t xml:space="preserve">   </w:t>
      </w:r>
      <w:r>
        <w:t>单位：</w:t>
      </w:r>
      <w:r>
        <w:rPr>
          <w:vertAlign w:val="superscript"/>
        </w:rPr>
        <w:t xml:space="preserve"> </w:t>
      </w:r>
      <w:r>
        <w:t>hm²</w:t>
      </w:r>
    </w:p>
    <w:p>
      <w:pPr>
        <w:pStyle w:val="13"/>
      </w:pPr>
      <w:r>
        <w:t xml:space="preserve">表 </w:t>
      </w:r>
      <w:r>
        <w:fldChar w:fldCharType="begin"/>
      </w:r>
      <w:r>
        <w:instrText xml:space="preserve"> STYLEREF 2 \s </w:instrText>
      </w:r>
      <w:r>
        <w:fldChar w:fldCharType="separate"/>
      </w:r>
      <w:r>
        <w:t>1.1</w:t>
      </w:r>
      <w:r>
        <w:fldChar w:fldCharType="end"/>
      </w:r>
      <w:r>
        <w:noBreakHyphen/>
      </w:r>
      <w:r>
        <w:fldChar w:fldCharType="begin"/>
      </w:r>
      <w:r>
        <w:instrText xml:space="preserve"> SEQ 表 \* ARABIC \s 2 </w:instrText>
      </w:r>
      <w:r>
        <w:fldChar w:fldCharType="separate"/>
      </w:r>
      <w:r>
        <w:t>7</w:t>
      </w:r>
      <w:r>
        <w:fldChar w:fldCharType="end"/>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1" w:type="dxa"/>
          <w:bottom w:w="0" w:type="dxa"/>
          <w:right w:w="11" w:type="dxa"/>
        </w:tblCellMar>
      </w:tblPr>
      <w:tblGrid>
        <w:gridCol w:w="1483"/>
        <w:gridCol w:w="2412"/>
        <w:gridCol w:w="558"/>
        <w:gridCol w:w="558"/>
        <w:gridCol w:w="1088"/>
        <w:gridCol w:w="558"/>
        <w:gridCol w:w="558"/>
        <w:gridCol w:w="558"/>
        <w:gridCol w:w="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1" w:type="dxa"/>
            <w:bottom w:w="0" w:type="dxa"/>
            <w:right w:w="11" w:type="dxa"/>
          </w:tblCellMar>
        </w:tblPrEx>
        <w:trPr>
          <w:trHeight w:val="340" w:hRule="atLeast"/>
        </w:trPr>
        <w:tc>
          <w:tcPr>
            <w:tcW w:w="389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项目组成</w:t>
            </w:r>
          </w:p>
        </w:tc>
        <w:tc>
          <w:tcPr>
            <w:tcW w:w="220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占地类型</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Cs w:val="16"/>
                <w:lang w:val="en-US"/>
              </w:rPr>
            </w:pPr>
            <w:r>
              <w:rPr>
                <w:rFonts w:hint="eastAsia" w:ascii="Times New Roman" w:hAnsi="Times New Roman" w:eastAsia="仿宋_GB2312" w:cs="仿宋_GB2312"/>
                <w:snapToGrid/>
                <w:color w:val="000000"/>
                <w:kern w:val="2"/>
                <w:sz w:val="21"/>
                <w:szCs w:val="16"/>
                <w:lang w:val="en-US" w:eastAsia="zh-CN" w:bidi="ar"/>
              </w:rPr>
              <w:t>　</w:t>
            </w:r>
          </w:p>
        </w:tc>
        <w:tc>
          <w:tcPr>
            <w:tcW w:w="167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占地性质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林地</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草地</w:t>
            </w:r>
          </w:p>
        </w:tc>
        <w:tc>
          <w:tcPr>
            <w:tcW w:w="10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其他土地</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小计</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永久</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临时</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4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变电站工程</w:t>
            </w:r>
          </w:p>
        </w:tc>
        <w:tc>
          <w:tcPr>
            <w:tcW w:w="24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cs="仿宋_GB2312"/>
                <w:snapToGrid/>
                <w:color w:val="000000"/>
                <w:kern w:val="2"/>
                <w:sz w:val="21"/>
                <w:szCs w:val="18"/>
                <w:lang w:val="en-US" w:eastAsia="zh-CN" w:bidi="ar"/>
              </w:rPr>
              <w:t>柯拉</w:t>
            </w:r>
            <w:r>
              <w:rPr>
                <w:rFonts w:hint="default" w:ascii="Times New Roman" w:hAnsi="Times New Roman" w:eastAsia="仿宋_GB2312" w:cs="Times New Roman"/>
                <w:snapToGrid/>
                <w:color w:val="000000"/>
                <w:kern w:val="2"/>
                <w:sz w:val="21"/>
                <w:szCs w:val="18"/>
                <w:lang w:val="en-US" w:eastAsia="zh-CN" w:bidi="ar"/>
              </w:rPr>
              <w:t xml:space="preserve"> 35kV </w:t>
            </w:r>
            <w:r>
              <w:rPr>
                <w:rFonts w:hint="eastAsia" w:ascii="Times New Roman" w:hAnsi="Times New Roman" w:eastAsia="仿宋_GB2312" w:cs="仿宋_GB2312"/>
                <w:snapToGrid/>
                <w:color w:val="000000"/>
                <w:kern w:val="2"/>
                <w:sz w:val="21"/>
                <w:szCs w:val="18"/>
                <w:lang w:val="en-US" w:eastAsia="zh-CN" w:bidi="ar"/>
              </w:rPr>
              <w:t>变电站</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0.13</w:t>
            </w:r>
          </w:p>
        </w:tc>
        <w:tc>
          <w:tcPr>
            <w:tcW w:w="10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0.13</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0.13</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4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24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施工场地</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0.02</w:t>
            </w:r>
          </w:p>
        </w:tc>
        <w:tc>
          <w:tcPr>
            <w:tcW w:w="10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0.02</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0.02</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4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24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小计</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0.15</w:t>
            </w:r>
          </w:p>
        </w:tc>
        <w:tc>
          <w:tcPr>
            <w:tcW w:w="10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0.15</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0.13</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0.02</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4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线路工程</w:t>
            </w:r>
          </w:p>
        </w:tc>
        <w:tc>
          <w:tcPr>
            <w:tcW w:w="24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电缆工程</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0.01</w:t>
            </w:r>
          </w:p>
        </w:tc>
        <w:tc>
          <w:tcPr>
            <w:tcW w:w="10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0.01</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0.01</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4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24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塔基及塔基临时占地</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0.06</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0.60</w:t>
            </w:r>
          </w:p>
        </w:tc>
        <w:tc>
          <w:tcPr>
            <w:tcW w:w="10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0.18</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0.84</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0.26</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0.58</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4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24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其他临时占地</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0.11</w:t>
            </w:r>
          </w:p>
        </w:tc>
        <w:tc>
          <w:tcPr>
            <w:tcW w:w="10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0.11</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0.11</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4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24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人抬道路</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0.62</w:t>
            </w:r>
          </w:p>
        </w:tc>
        <w:tc>
          <w:tcPr>
            <w:tcW w:w="10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0.08</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0.70</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sz w:val="21"/>
                <w:szCs w:val="21"/>
                <w:lang w:val="en-US"/>
              </w:rPr>
            </w:pP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0.70</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4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24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kern w:val="2"/>
                <w:lang w:val="en-US"/>
              </w:rPr>
            </w:pPr>
            <w:r>
              <w:rPr>
                <w:rFonts w:hint="eastAsia" w:ascii="Times New Roman" w:hAnsi="Times New Roman" w:eastAsia="仿宋_GB2312" w:cs="仿宋_GB2312"/>
                <w:snapToGrid/>
                <w:color w:val="000000"/>
                <w:kern w:val="2"/>
                <w:sz w:val="21"/>
                <w:szCs w:val="18"/>
                <w:lang w:val="en-US" w:eastAsia="zh-CN" w:bidi="ar"/>
              </w:rPr>
              <w:t>小计</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0.06</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1.34</w:t>
            </w:r>
          </w:p>
        </w:tc>
        <w:tc>
          <w:tcPr>
            <w:tcW w:w="10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0.26</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1.66</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0.26</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1.40</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kern w:val="2"/>
                <w:sz w:val="21"/>
                <w:szCs w:val="21"/>
                <w:lang w:val="en-US" w:eastAsia="zh-CN"/>
              </w:rPr>
            </w:pPr>
            <w:r>
              <w:rPr>
                <w:rFonts w:hint="eastAsia"/>
                <w:kern w:val="2"/>
                <w:sz w:val="21"/>
                <w:szCs w:val="21"/>
                <w:lang w:val="en-US" w:eastAsia="zh-CN"/>
              </w:rP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b/>
                <w:bCs/>
                <w:kern w:val="2"/>
                <w:lang w:val="en-US"/>
              </w:rPr>
            </w:pPr>
            <w:r>
              <w:rPr>
                <w:rFonts w:hint="eastAsia" w:ascii="Times New Roman" w:hAnsi="Times New Roman" w:eastAsia="仿宋_GB2312" w:cs="仿宋_GB2312"/>
                <w:b/>
                <w:bCs/>
                <w:snapToGrid/>
                <w:color w:val="000000"/>
                <w:kern w:val="2"/>
                <w:sz w:val="21"/>
                <w:szCs w:val="18"/>
                <w:lang w:val="en-US" w:eastAsia="zh-CN" w:bidi="ar"/>
              </w:rPr>
              <w:t>合计</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b/>
                <w:bCs/>
                <w:kern w:val="2"/>
                <w:sz w:val="21"/>
                <w:szCs w:val="21"/>
                <w:lang w:val="en-US" w:eastAsia="zh-CN"/>
              </w:rPr>
            </w:pPr>
            <w:r>
              <w:rPr>
                <w:rFonts w:hint="eastAsia"/>
                <w:b/>
                <w:bCs/>
                <w:kern w:val="2"/>
                <w:sz w:val="21"/>
                <w:szCs w:val="21"/>
                <w:lang w:val="en-US" w:eastAsia="zh-CN"/>
              </w:rPr>
              <w:t>0.06</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b/>
                <w:bCs/>
                <w:kern w:val="2"/>
                <w:sz w:val="21"/>
                <w:szCs w:val="21"/>
                <w:lang w:val="en-US" w:eastAsia="zh-CN"/>
              </w:rPr>
            </w:pPr>
            <w:r>
              <w:rPr>
                <w:rFonts w:hint="eastAsia"/>
                <w:b/>
                <w:bCs/>
                <w:kern w:val="2"/>
                <w:sz w:val="21"/>
                <w:szCs w:val="21"/>
                <w:lang w:val="en-US" w:eastAsia="zh-CN"/>
              </w:rPr>
              <w:t>1.49</w:t>
            </w:r>
          </w:p>
        </w:tc>
        <w:tc>
          <w:tcPr>
            <w:tcW w:w="10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b/>
                <w:bCs/>
                <w:kern w:val="2"/>
                <w:sz w:val="21"/>
                <w:szCs w:val="21"/>
                <w:lang w:val="en-US" w:eastAsia="zh-CN"/>
              </w:rPr>
            </w:pPr>
            <w:r>
              <w:rPr>
                <w:rFonts w:hint="eastAsia"/>
                <w:b/>
                <w:bCs/>
                <w:kern w:val="2"/>
                <w:sz w:val="21"/>
                <w:szCs w:val="21"/>
                <w:lang w:val="en-US" w:eastAsia="zh-CN"/>
              </w:rPr>
              <w:t>0.26</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b/>
                <w:bCs/>
                <w:kern w:val="2"/>
                <w:sz w:val="21"/>
                <w:szCs w:val="21"/>
                <w:lang w:val="en-US" w:eastAsia="zh-CN"/>
              </w:rPr>
            </w:pPr>
            <w:r>
              <w:rPr>
                <w:rFonts w:hint="eastAsia"/>
                <w:b/>
                <w:bCs/>
                <w:kern w:val="2"/>
                <w:sz w:val="21"/>
                <w:szCs w:val="21"/>
                <w:lang w:val="en-US" w:eastAsia="zh-CN"/>
              </w:rPr>
              <w:t>1.81</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b/>
                <w:bCs/>
                <w:kern w:val="2"/>
                <w:sz w:val="21"/>
                <w:szCs w:val="21"/>
                <w:lang w:val="en-US" w:eastAsia="zh-CN"/>
              </w:rPr>
            </w:pPr>
            <w:r>
              <w:rPr>
                <w:rFonts w:hint="eastAsia"/>
                <w:b/>
                <w:bCs/>
                <w:kern w:val="2"/>
                <w:sz w:val="21"/>
                <w:szCs w:val="21"/>
                <w:lang w:val="en-US" w:eastAsia="zh-CN"/>
              </w:rPr>
              <w:t>0.39</w:t>
            </w:r>
          </w:p>
        </w:tc>
        <w:tc>
          <w:tcPr>
            <w:tcW w:w="55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b/>
                <w:bCs/>
                <w:kern w:val="2"/>
                <w:sz w:val="21"/>
                <w:szCs w:val="21"/>
                <w:lang w:val="en-US" w:eastAsia="zh-CN"/>
              </w:rPr>
            </w:pPr>
            <w:r>
              <w:rPr>
                <w:rFonts w:hint="eastAsia"/>
                <w:b/>
                <w:bCs/>
                <w:kern w:val="2"/>
                <w:sz w:val="21"/>
                <w:szCs w:val="21"/>
                <w:lang w:val="en-US" w:eastAsia="zh-CN"/>
              </w:rPr>
              <w:t>1.42</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b/>
                <w:bCs/>
                <w:kern w:val="2"/>
                <w:sz w:val="21"/>
                <w:szCs w:val="21"/>
                <w:lang w:val="en-US" w:eastAsia="zh-CN"/>
              </w:rPr>
            </w:pPr>
            <w:r>
              <w:rPr>
                <w:rFonts w:hint="eastAsia"/>
                <w:b/>
                <w:bCs/>
                <w:kern w:val="2"/>
                <w:sz w:val="21"/>
                <w:szCs w:val="21"/>
                <w:lang w:val="en-US" w:eastAsia="zh-CN"/>
              </w:rPr>
              <w:t>1.81</w:t>
            </w:r>
          </w:p>
        </w:tc>
      </w:tr>
    </w:tbl>
    <w:p>
      <w:pPr>
        <w:pStyle w:val="4"/>
        <w:spacing w:before="120"/>
      </w:pPr>
      <w:r>
        <w:t>移民安置和专项设施改（迁）建</w:t>
      </w:r>
      <w:bookmarkEnd w:id="20"/>
    </w:p>
    <w:p>
      <w:pPr>
        <w:spacing w:before="120"/>
        <w:ind w:firstLine="480"/>
      </w:pPr>
      <w:bookmarkStart w:id="21" w:name="_Toc515873302"/>
      <w:r>
        <w:t>项目的建设不涉及居民拆迁和专项设施的迁改建。</w:t>
      </w:r>
    </w:p>
    <w:p>
      <w:pPr>
        <w:pStyle w:val="3"/>
        <w:spacing w:before="120" w:after="120"/>
        <w:rPr>
          <w:b/>
          <w:bCs/>
        </w:rPr>
      </w:pPr>
      <w:bookmarkStart w:id="22" w:name="_Toc682"/>
      <w:r>
        <w:rPr>
          <w:b/>
          <w:bCs/>
        </w:rPr>
        <w:t>项目区概况</w:t>
      </w:r>
      <w:bookmarkEnd w:id="21"/>
      <w:bookmarkEnd w:id="22"/>
    </w:p>
    <w:p>
      <w:pPr>
        <w:pStyle w:val="4"/>
        <w:spacing w:before="120"/>
      </w:pPr>
      <w:bookmarkStart w:id="23" w:name="_Toc515873303"/>
      <w:r>
        <w:t>自然条件</w:t>
      </w:r>
      <w:bookmarkEnd w:id="23"/>
    </w:p>
    <w:p>
      <w:pPr>
        <w:pStyle w:val="5"/>
        <w:spacing w:before="120"/>
      </w:pPr>
      <w:r>
        <w:t>地形、地貌</w:t>
      </w:r>
    </w:p>
    <w:p>
      <w:pPr>
        <w:spacing w:before="120"/>
        <w:ind w:firstLine="480"/>
        <w:rPr>
          <w:spacing w:val="-2"/>
        </w:rPr>
      </w:pPr>
      <w:r>
        <w:rPr>
          <w:rFonts w:hint="eastAsia"/>
          <w:lang w:eastAsia="zh-CN"/>
        </w:rPr>
        <w:t>项目</w:t>
      </w:r>
      <w:r>
        <w:rPr>
          <w:rFonts w:hint="eastAsia"/>
          <w:lang w:val="en-US" w:eastAsia="zh-CN"/>
        </w:rPr>
        <w:t>所</w:t>
      </w:r>
      <w:r>
        <w:rPr>
          <w:rFonts w:hint="eastAsia"/>
          <w:lang w:eastAsia="zh-CN"/>
        </w:rPr>
        <w:t>在区域位于川西高原，路径区内地貌主要为侵蚀堆积地形、构造剥蚀地形、构造侵蚀地形等，地貌表现为中～深切割中高山地形、呈波状起伏的高原低山丘陵和河流侵蚀堆积形成的阶地及洪坡积扇地形。区内主要山系呈西-东走向，主要水系与之并列而行，由北西流向南东，显示了北西高南东低的总体地势。项目区地貌类型为中高山地貌，其中项目及线路所经地段海拔高程为3900～4500m之间</w:t>
      </w:r>
      <w:r>
        <w:rPr>
          <w:spacing w:val="6"/>
        </w:rPr>
        <w:t>。</w:t>
      </w:r>
    </w:p>
    <w:p>
      <w:pPr>
        <w:pStyle w:val="5"/>
        <w:spacing w:before="120"/>
      </w:pPr>
      <w:r>
        <w:t>地质</w:t>
      </w:r>
    </w:p>
    <w:p>
      <w:pPr>
        <w:spacing w:before="120"/>
        <w:ind w:firstLine="480"/>
        <w:jc w:val="left"/>
      </w:pPr>
      <w:r>
        <w:rPr>
          <w:rFonts w:hint="eastAsia"/>
        </w:rPr>
        <w:t>一、地质构造及岩性</w:t>
      </w:r>
    </w:p>
    <w:p>
      <w:pPr>
        <w:spacing w:before="120"/>
        <w:ind w:firstLine="480"/>
        <w:jc w:val="left"/>
        <w:rPr>
          <w:rFonts w:hint="eastAsia"/>
        </w:rPr>
      </w:pPr>
      <w:r>
        <w:rPr>
          <w:rFonts w:hint="eastAsia"/>
        </w:rPr>
        <w:t>项目区位于甘孜州雅江县境内，项目区大地构造处于青藏滇缅印尼“歹”字型构造头部转折部位的三江弧形构造带，区域构造复杂，新构造运动强烈。区域内主要出露地层有三叠系中统杂古脑组地层、上统新都桥组、上统雅江组、上统侏倭组、上统两河口组和第四系全新统等。</w:t>
      </w:r>
    </w:p>
    <w:p>
      <w:pPr>
        <w:numPr>
          <w:ilvl w:val="0"/>
          <w:numId w:val="3"/>
        </w:numPr>
        <w:spacing w:before="120"/>
        <w:ind w:firstLine="480"/>
        <w:jc w:val="left"/>
        <w:rPr>
          <w:rFonts w:hint="eastAsia"/>
        </w:rPr>
      </w:pPr>
      <w:r>
        <w:rPr>
          <w:rFonts w:hint="eastAsia"/>
        </w:rPr>
        <w:t>三叠系中统</w:t>
      </w:r>
    </w:p>
    <w:p>
      <w:pPr>
        <w:numPr>
          <w:ilvl w:val="0"/>
          <w:numId w:val="0"/>
        </w:numPr>
        <w:spacing w:before="120"/>
        <w:ind w:firstLine="480" w:firstLineChars="200"/>
        <w:jc w:val="left"/>
        <w:rPr>
          <w:rFonts w:hint="eastAsia"/>
        </w:rPr>
      </w:pPr>
      <w:r>
        <w:rPr>
          <w:rFonts w:hint="eastAsia"/>
        </w:rPr>
        <w:t>杂古脑组地层：灰色，薄-中层变质砂岩和长石砂岩夹粉砂质绢云板岩。</w:t>
      </w:r>
    </w:p>
    <w:p>
      <w:pPr>
        <w:spacing w:before="120"/>
        <w:ind w:firstLine="480"/>
        <w:jc w:val="left"/>
        <w:rPr>
          <w:rFonts w:hint="eastAsia"/>
        </w:rPr>
      </w:pPr>
      <w:r>
        <w:rPr>
          <w:rFonts w:hint="eastAsia"/>
        </w:rPr>
        <w:t>2、三叠系上统</w:t>
      </w:r>
    </w:p>
    <w:p>
      <w:pPr>
        <w:spacing w:before="120"/>
        <w:ind w:firstLine="480"/>
        <w:jc w:val="left"/>
        <w:rPr>
          <w:rFonts w:hint="eastAsia"/>
        </w:rPr>
      </w:pPr>
      <w:r>
        <w:rPr>
          <w:rFonts w:hint="eastAsia"/>
        </w:rPr>
        <w:t>（1）新都桥组</w:t>
      </w:r>
    </w:p>
    <w:p>
      <w:pPr>
        <w:spacing w:before="120"/>
        <w:ind w:firstLine="480"/>
        <w:jc w:val="left"/>
        <w:rPr>
          <w:rFonts w:hint="eastAsia"/>
        </w:rPr>
      </w:pPr>
      <w:r>
        <w:rPr>
          <w:rFonts w:hint="eastAsia"/>
        </w:rPr>
        <w:t>下段岩性为深灰、黑灰色板岩夹少量砂岩，局部分布厚层状变质砂岩、砂岩；上段为变质砂岩夹板岩。</w:t>
      </w:r>
    </w:p>
    <w:p>
      <w:pPr>
        <w:spacing w:before="120"/>
        <w:ind w:firstLine="480"/>
        <w:jc w:val="left"/>
        <w:rPr>
          <w:rFonts w:hint="eastAsia"/>
        </w:rPr>
      </w:pPr>
      <w:r>
        <w:rPr>
          <w:rFonts w:hint="eastAsia"/>
        </w:rPr>
        <w:t>（2）雅江组</w:t>
      </w:r>
    </w:p>
    <w:p>
      <w:pPr>
        <w:spacing w:before="120"/>
        <w:ind w:firstLine="480"/>
        <w:jc w:val="left"/>
        <w:rPr>
          <w:rFonts w:hint="eastAsia"/>
        </w:rPr>
      </w:pPr>
      <w:r>
        <w:rPr>
          <w:rFonts w:hint="eastAsia"/>
        </w:rPr>
        <w:t>灰色、灰黑色、灰白色长石石英砂岩、长石砂岩与黑色炭质板岩、粉砂质板岩互层。</w:t>
      </w:r>
    </w:p>
    <w:p>
      <w:pPr>
        <w:spacing w:before="120"/>
        <w:ind w:firstLine="480"/>
        <w:jc w:val="left"/>
        <w:rPr>
          <w:rFonts w:hint="eastAsia"/>
        </w:rPr>
      </w:pPr>
      <w:r>
        <w:rPr>
          <w:rFonts w:hint="eastAsia"/>
        </w:rPr>
        <w:t>（3）侏倭组</w:t>
      </w:r>
    </w:p>
    <w:p>
      <w:pPr>
        <w:spacing w:before="120"/>
        <w:ind w:firstLine="480"/>
        <w:jc w:val="left"/>
        <w:rPr>
          <w:rFonts w:hint="eastAsia"/>
        </w:rPr>
      </w:pPr>
      <w:r>
        <w:rPr>
          <w:rFonts w:hint="eastAsia"/>
        </w:rPr>
        <w:t>灰色薄层～厚层变质石英粉～细砂岩、长石砂岩与深灰色含钙质绢云板岩韵律式互层，下部夹泥灰岩结核。</w:t>
      </w:r>
    </w:p>
    <w:p>
      <w:pPr>
        <w:spacing w:before="120"/>
        <w:ind w:firstLine="480"/>
        <w:jc w:val="left"/>
        <w:rPr>
          <w:rFonts w:hint="eastAsia"/>
        </w:rPr>
      </w:pPr>
      <w:r>
        <w:rPr>
          <w:rFonts w:hint="eastAsia"/>
        </w:rPr>
        <w:t>（4）两河口组</w:t>
      </w:r>
    </w:p>
    <w:p>
      <w:pPr>
        <w:spacing w:before="120"/>
        <w:ind w:firstLine="480"/>
        <w:jc w:val="left"/>
        <w:rPr>
          <w:rFonts w:hint="eastAsia"/>
        </w:rPr>
      </w:pPr>
      <w:r>
        <w:rPr>
          <w:rFonts w:hint="eastAsia"/>
        </w:rPr>
        <w:t>灰色薄-厚层变质钙质石英砂岩，长石石英粉砂岩与钙质绢云母板岩，下部夹不稳定砾岩。</w:t>
      </w:r>
    </w:p>
    <w:p>
      <w:pPr>
        <w:spacing w:before="120"/>
        <w:ind w:firstLine="480"/>
        <w:jc w:val="left"/>
        <w:rPr>
          <w:rFonts w:hint="eastAsia"/>
        </w:rPr>
      </w:pPr>
      <w:r>
        <w:rPr>
          <w:rFonts w:hint="eastAsia"/>
        </w:rPr>
        <w:t>3、第四系全新统</w:t>
      </w:r>
    </w:p>
    <w:p>
      <w:pPr>
        <w:spacing w:before="120"/>
        <w:ind w:firstLine="480"/>
        <w:jc w:val="left"/>
        <w:rPr>
          <w:rFonts w:hint="eastAsia"/>
        </w:rPr>
      </w:pPr>
      <w:r>
        <w:rPr>
          <w:rFonts w:hint="eastAsia"/>
        </w:rPr>
        <w:t>冲积漂卵砾石、洪积漂卵砾石夹砂或粘性土、崩坡积、坡残积或滑坡堆积之块碎石土。主要分布在山体缓坡、沿线河流及其支流两岸低阶地一带，在各直立陡崖段堆积较厚，为基岩上覆土层，厚度一般大于 3m。主要分布于线路沿线河流附近。</w:t>
      </w:r>
    </w:p>
    <w:p>
      <w:pPr>
        <w:spacing w:before="120"/>
        <w:ind w:firstLine="480"/>
        <w:jc w:val="left"/>
      </w:pPr>
      <w:r>
        <w:rPr>
          <w:rFonts w:hint="eastAsia"/>
        </w:rPr>
        <w:t>二、水文地质</w:t>
      </w:r>
    </w:p>
    <w:p>
      <w:pPr>
        <w:spacing w:before="120"/>
        <w:ind w:firstLine="480"/>
        <w:jc w:val="left"/>
        <w:rPr>
          <w:rFonts w:hint="eastAsia"/>
        </w:rPr>
      </w:pPr>
      <w:r>
        <w:rPr>
          <w:rFonts w:hint="eastAsia"/>
        </w:rPr>
        <w:t>根据含水层的性质以及地下水在地层中的富集形式和分布特征，路径区地下水主要为基岩裂隙水和松散岩类孔隙水。基岩裂隙水主要为风化带裂隙水，赋存于基岩地层中，接受大气降水及少量地表水渗入补给，由高向低运动，径流受地形地貌和裂隙发育程度的限制，径流条件差，具有水量分布不均、储藏量小、埋深大等特点，对杆塔基础及开挖无影响。</w:t>
      </w:r>
    </w:p>
    <w:p>
      <w:pPr>
        <w:spacing w:before="120"/>
        <w:ind w:firstLine="480"/>
        <w:jc w:val="left"/>
      </w:pPr>
      <w:r>
        <w:rPr>
          <w:rFonts w:hint="eastAsia"/>
        </w:rPr>
        <w:t>松散岩类孔隙水主要表现为潜水，其次为上层滞水。潜水主要分布于沿河两岸的阶地，水量较丰富，水位受季节变化，线路区内潜水一般埋深较大，对杆塔基础及施工开挖影响较小；上层滞水一般分布于低洼洼地地带，埋藏较浅，水量较贫乏，对杆塔基础及施工开挖有一定影响，开挖时应采取抽排水及坑壁支护措施。</w:t>
      </w:r>
      <w:r>
        <w:rPr>
          <w:rFonts w:hint="eastAsia"/>
        </w:rPr>
        <w:tab/>
      </w:r>
    </w:p>
    <w:p>
      <w:pPr>
        <w:spacing w:before="120"/>
        <w:ind w:firstLine="480"/>
        <w:jc w:val="left"/>
      </w:pPr>
      <w:r>
        <w:rPr>
          <w:rFonts w:hint="eastAsia"/>
        </w:rPr>
        <w:t>三、项目区地震情况</w:t>
      </w:r>
    </w:p>
    <w:p>
      <w:pPr>
        <w:spacing w:before="120"/>
        <w:ind w:firstLine="480"/>
        <w:jc w:val="left"/>
      </w:pPr>
      <w:r>
        <w:rPr>
          <w:rFonts w:hint="eastAsia"/>
        </w:rPr>
        <w:t>根据</w:t>
      </w:r>
      <w:r>
        <w:rPr>
          <w:rFonts w:hint="eastAsia"/>
          <w:vertAlign w:val="superscript"/>
        </w:rPr>
        <w:t xml:space="preserve"> </w:t>
      </w:r>
      <w:r>
        <w:rPr>
          <w:rFonts w:hint="eastAsia"/>
        </w:rPr>
        <w:t>1:400</w:t>
      </w:r>
      <w:r>
        <w:rPr>
          <w:rFonts w:hint="eastAsia"/>
          <w:vertAlign w:val="superscript"/>
        </w:rPr>
        <w:t xml:space="preserve"> </w:t>
      </w:r>
      <w:r>
        <w:rPr>
          <w:rFonts w:hint="eastAsia"/>
        </w:rPr>
        <w:t>万《中国地震动参数区划图》(GB18306-2015)和《建筑抗震设计</w:t>
      </w:r>
      <w:r>
        <w:rPr>
          <w:rFonts w:hint="eastAsia"/>
          <w:vertAlign w:val="superscript"/>
        </w:rPr>
        <w:t xml:space="preserve"> </w:t>
      </w:r>
      <w:r>
        <w:rPr>
          <w:rFonts w:hint="eastAsia"/>
        </w:rPr>
        <w:t>规范》的划分，项目区的地震动反应谱特征周期为</w:t>
      </w:r>
      <w:r>
        <w:rPr>
          <w:rFonts w:hint="eastAsia"/>
          <w:vertAlign w:val="superscript"/>
        </w:rPr>
        <w:t xml:space="preserve"> </w:t>
      </w:r>
      <w:r>
        <w:rPr>
          <w:rFonts w:hint="eastAsia"/>
        </w:rPr>
        <w:t>0.4</w:t>
      </w:r>
      <w:r>
        <w:rPr>
          <w:rFonts w:hint="eastAsia"/>
          <w:lang w:val="en-US" w:eastAsia="zh-CN"/>
        </w:rPr>
        <w:t>5</w:t>
      </w:r>
      <w:r>
        <w:rPr>
          <w:rFonts w:hint="eastAsia"/>
        </w:rPr>
        <w:t>s，地震动峰值加速度为0.</w:t>
      </w:r>
      <w:r>
        <w:rPr>
          <w:rFonts w:hint="eastAsia"/>
          <w:lang w:val="en-US" w:eastAsia="zh-CN"/>
        </w:rPr>
        <w:t>15</w:t>
      </w:r>
      <w:r>
        <w:rPr>
          <w:rFonts w:hint="eastAsia"/>
        </w:rPr>
        <w:t>g，相对应的地震基本烈度为</w:t>
      </w:r>
      <w:r>
        <w:rPr>
          <w:rFonts w:hint="eastAsia"/>
          <w:lang w:val="en-US" w:eastAsia="zh-CN"/>
        </w:rPr>
        <w:t>Ⅶ</w:t>
      </w:r>
      <w:r>
        <w:rPr>
          <w:rFonts w:hint="eastAsia"/>
        </w:rPr>
        <w:t>度，第</w:t>
      </w:r>
      <w:r>
        <w:rPr>
          <w:rFonts w:hint="eastAsia"/>
          <w:lang w:val="en-US" w:eastAsia="zh-CN"/>
        </w:rPr>
        <w:t>三</w:t>
      </w:r>
      <w:r>
        <w:rPr>
          <w:rFonts w:hint="eastAsia"/>
        </w:rPr>
        <w:t>组。</w:t>
      </w:r>
    </w:p>
    <w:p>
      <w:pPr>
        <w:spacing w:before="120"/>
        <w:ind w:firstLine="480"/>
        <w:jc w:val="left"/>
      </w:pPr>
      <w:r>
        <w:rPr>
          <w:rFonts w:hint="eastAsia"/>
        </w:rPr>
        <w:t>四、不良地质情况</w:t>
      </w:r>
    </w:p>
    <w:p>
      <w:pPr>
        <w:spacing w:before="120"/>
        <w:ind w:firstLine="480"/>
        <w:jc w:val="left"/>
      </w:pPr>
      <w:r>
        <w:rPr>
          <w:rFonts w:hint="eastAsia"/>
        </w:rPr>
        <w:t>根据地勘报告，本项目整条线路大部分位于中高山区，线路沿线不良地质现象主要为：冲沟、泥石流、崩塌及高陡边坡等。沿线除斜坡、谷底分布第四系松散岩组外，其余以砂岩、板岩为主。</w:t>
      </w:r>
    </w:p>
    <w:p>
      <w:pPr>
        <w:pStyle w:val="5"/>
        <w:spacing w:before="120"/>
      </w:pPr>
      <w:r>
        <w:t>气象</w:t>
      </w:r>
    </w:p>
    <w:p>
      <w:pPr>
        <w:spacing w:before="120"/>
        <w:ind w:firstLine="480"/>
      </w:pPr>
      <w:r>
        <w:rPr>
          <w:rFonts w:hint="eastAsia"/>
          <w:lang w:eastAsia="zh-CN"/>
        </w:rPr>
        <w:t>雅江</w:t>
      </w:r>
      <w:r>
        <w:rPr>
          <w:rFonts w:hint="eastAsia"/>
        </w:rPr>
        <w:t>县属大陆性季风高原型气候，多年平均气温为10.9℃，极端最高与最低气温分别为35.9℃－15.9℃，大于等于10℃有效积温为1147.7℃；多年平均年降水量705.2mm，最大一日雨量70.6mm；多年平均相对湿度54%；多年平均年蒸发量1912.5mm；多年平均风速1.7m/s，最大风速15.3m/s(相应风向 NNE)。项目区5年重现期的10min 降雨历时的平均降雨强度为0.77mm/min</w:t>
      </w:r>
      <w:r>
        <w:t>。</w:t>
      </w:r>
    </w:p>
    <w:p>
      <w:pPr>
        <w:pStyle w:val="16"/>
      </w:pPr>
    </w:p>
    <w:p>
      <w:pPr>
        <w:pStyle w:val="16"/>
      </w:pPr>
    </w:p>
    <w:p>
      <w:pPr>
        <w:pStyle w:val="16"/>
      </w:pPr>
    </w:p>
    <w:p>
      <w:pPr>
        <w:pStyle w:val="16"/>
      </w:pPr>
      <w:r>
        <w:t>项目区降雨特征值表</w:t>
      </w:r>
    </w:p>
    <w:p>
      <w:pPr>
        <w:pStyle w:val="13"/>
      </w:pPr>
      <w:r>
        <w:t>表</w:t>
      </w:r>
      <w:r>
        <w:rPr>
          <w:vertAlign w:val="superscript"/>
        </w:rPr>
        <w:t xml:space="preserve"> </w:t>
      </w:r>
      <w:r>
        <w:fldChar w:fldCharType="begin"/>
      </w:r>
      <w:r>
        <w:instrText xml:space="preserve"> STYLEREF 2 \s </w:instrText>
      </w:r>
      <w:r>
        <w:fldChar w:fldCharType="separate"/>
      </w:r>
      <w:r>
        <w:t>1.2</w:t>
      </w:r>
      <w:r>
        <w:fldChar w:fldCharType="end"/>
      </w:r>
      <w:r>
        <w:noBreakHyphen/>
      </w:r>
      <w:r>
        <w:fldChar w:fldCharType="begin"/>
      </w:r>
      <w:r>
        <w:instrText xml:space="preserve"> SEQ 表 \* ARABIC \s 2 </w:instrText>
      </w:r>
      <w:r>
        <w:fldChar w:fldCharType="separate"/>
      </w:r>
      <w:r>
        <w:t>1</w:t>
      </w:r>
      <w:r>
        <w:fldChar w:fldCharType="end"/>
      </w:r>
    </w:p>
    <w:tbl>
      <w:tblPr>
        <w:tblStyle w:val="32"/>
        <w:tblW w:w="832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 w:type="dxa"/>
          <w:bottom w:w="0" w:type="dxa"/>
          <w:right w:w="11" w:type="dxa"/>
        </w:tblCellMar>
      </w:tblPr>
      <w:tblGrid>
        <w:gridCol w:w="1123"/>
        <w:gridCol w:w="3421"/>
        <w:gridCol w:w="37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 w:type="dxa"/>
            <w:bottom w:w="0" w:type="dxa"/>
            <w:right w:w="11" w:type="dxa"/>
          </w:tblCellMar>
        </w:tblPrEx>
        <w:trPr>
          <w:trHeight w:val="340" w:hRule="atLeast"/>
        </w:trPr>
        <w:tc>
          <w:tcPr>
            <w:tcW w:w="4544" w:type="dxa"/>
            <w:gridSpan w:val="2"/>
            <w:vAlign w:val="center"/>
          </w:tcPr>
          <w:p>
            <w:pPr>
              <w:pStyle w:val="52"/>
              <w:keepNext w:val="0"/>
              <w:keepLines w:val="0"/>
              <w:widowControl/>
              <w:suppressLineNumbers w:val="0"/>
              <w:spacing w:before="0" w:beforeAutospacing="0" w:after="0" w:afterAutospacing="0"/>
              <w:ind w:left="0" w:right="0"/>
              <w:rPr>
                <w:rFonts w:cs="Times New Roman"/>
                <w:color w:val="auto"/>
                <w:szCs w:val="24"/>
              </w:rPr>
            </w:pPr>
            <w:r>
              <w:rPr>
                <w:rFonts w:cs="Times New Roman"/>
                <w:color w:val="auto"/>
              </w:rPr>
              <w:t>项</w:t>
            </w:r>
            <w:r>
              <w:rPr>
                <w:rFonts w:cs="Times New Roman"/>
                <w:color w:val="auto"/>
              </w:rPr>
              <w:tab/>
            </w:r>
            <w:r>
              <w:rPr>
                <w:rFonts w:cs="Times New Roman"/>
                <w:color w:val="auto"/>
                <w:w w:val="99"/>
              </w:rPr>
              <w:t>目</w:t>
            </w:r>
          </w:p>
        </w:tc>
        <w:tc>
          <w:tcPr>
            <w:tcW w:w="3784" w:type="dxa"/>
            <w:vAlign w:val="center"/>
          </w:tcPr>
          <w:p>
            <w:pPr>
              <w:pStyle w:val="52"/>
              <w:keepNext w:val="0"/>
              <w:keepLines w:val="0"/>
              <w:widowControl/>
              <w:suppressLineNumbers w:val="0"/>
              <w:spacing w:before="0" w:beforeAutospacing="0" w:after="0" w:afterAutospacing="0"/>
              <w:ind w:left="0" w:right="0"/>
              <w:rPr>
                <w:rFonts w:cs="Times New Roman"/>
                <w:color w:val="auto"/>
                <w:szCs w:val="24"/>
              </w:rPr>
            </w:pPr>
            <w:r>
              <w:rPr>
                <w:rFonts w:cs="Times New Roman"/>
                <w:color w:val="auto"/>
                <w:spacing w:val="2"/>
                <w:w w:val="99"/>
              </w:rPr>
              <w:t>项目</w:t>
            </w:r>
            <w:r>
              <w:rPr>
                <w:rFonts w:cs="Times New Roman"/>
                <w:color w:val="auto"/>
                <w:w w:val="99"/>
              </w:rPr>
              <w:t>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 w:type="dxa"/>
            <w:bottom w:w="0" w:type="dxa"/>
            <w:right w:w="11" w:type="dxa"/>
          </w:tblCellMar>
        </w:tblPrEx>
        <w:trPr>
          <w:trHeight w:val="340" w:hRule="atLeast"/>
        </w:trPr>
        <w:tc>
          <w:tcPr>
            <w:tcW w:w="4544" w:type="dxa"/>
            <w:gridSpan w:val="2"/>
            <w:vAlign w:val="center"/>
          </w:tcPr>
          <w:p>
            <w:pPr>
              <w:pStyle w:val="52"/>
              <w:keepNext w:val="0"/>
              <w:keepLines w:val="0"/>
              <w:widowControl/>
              <w:suppressLineNumbers w:val="0"/>
              <w:spacing w:before="0" w:beforeAutospacing="0" w:after="0" w:afterAutospacing="0"/>
              <w:ind w:left="0" w:right="0"/>
              <w:rPr>
                <w:rFonts w:cs="Times New Roman"/>
                <w:color w:val="auto"/>
                <w:szCs w:val="24"/>
              </w:rPr>
            </w:pPr>
            <w:r>
              <w:rPr>
                <w:rFonts w:cs="Times New Roman"/>
                <w:color w:val="auto"/>
              </w:rPr>
              <w:t>年</w:t>
            </w:r>
            <w:r>
              <w:rPr>
                <w:rFonts w:cs="Times New Roman"/>
                <w:color w:val="auto"/>
                <w:spacing w:val="2"/>
              </w:rPr>
              <w:t>平</w:t>
            </w:r>
            <w:r>
              <w:rPr>
                <w:rFonts w:cs="Times New Roman"/>
                <w:color w:val="auto"/>
              </w:rPr>
              <w:t>均</w:t>
            </w:r>
            <w:r>
              <w:rPr>
                <w:rFonts w:cs="Times New Roman"/>
                <w:color w:val="auto"/>
                <w:spacing w:val="2"/>
              </w:rPr>
              <w:t>气</w:t>
            </w:r>
            <w:r>
              <w:rPr>
                <w:rFonts w:cs="Times New Roman"/>
                <w:color w:val="auto"/>
              </w:rPr>
              <w:t>温</w:t>
            </w:r>
            <w:r>
              <w:rPr>
                <w:rFonts w:cs="Times New Roman"/>
                <w:color w:val="auto"/>
                <w:spacing w:val="2"/>
              </w:rPr>
              <w:t>（℃</w:t>
            </w:r>
            <w:r>
              <w:rPr>
                <w:rFonts w:cs="Times New Roman"/>
                <w:color w:val="auto"/>
              </w:rPr>
              <w:t>）</w:t>
            </w:r>
          </w:p>
        </w:tc>
        <w:tc>
          <w:tcPr>
            <w:tcW w:w="3784"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Cs w:val="24"/>
                <w:lang w:val="en-US" w:eastAsia="zh-CN"/>
              </w:rPr>
            </w:pPr>
            <w:r>
              <w:rPr>
                <w:rFonts w:hint="eastAsia" w:cs="Times New Roman"/>
                <w:color w:val="auto"/>
                <w:spacing w:val="1"/>
                <w:w w:val="83"/>
                <w:position w:val="-3"/>
                <w:lang w:val="en-US" w:eastAsia="zh-CN"/>
              </w:rPr>
              <w:t>10.9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 w:type="dxa"/>
            <w:bottom w:w="0" w:type="dxa"/>
            <w:right w:w="11" w:type="dxa"/>
          </w:tblCellMar>
        </w:tblPrEx>
        <w:trPr>
          <w:trHeight w:val="340" w:hRule="atLeast"/>
        </w:trPr>
        <w:tc>
          <w:tcPr>
            <w:tcW w:w="4544" w:type="dxa"/>
            <w:gridSpan w:val="2"/>
            <w:vAlign w:val="center"/>
          </w:tcPr>
          <w:p>
            <w:pPr>
              <w:pStyle w:val="52"/>
              <w:keepNext w:val="0"/>
              <w:keepLines w:val="0"/>
              <w:widowControl/>
              <w:suppressLineNumbers w:val="0"/>
              <w:spacing w:before="0" w:beforeAutospacing="0" w:after="0" w:afterAutospacing="0"/>
              <w:ind w:left="0" w:right="0"/>
              <w:rPr>
                <w:rFonts w:cs="Times New Roman"/>
                <w:color w:val="auto"/>
                <w:szCs w:val="24"/>
              </w:rPr>
            </w:pPr>
            <w:r>
              <w:rPr>
                <w:rFonts w:cs="Times New Roman"/>
                <w:color w:val="auto"/>
              </w:rPr>
              <w:t>年</w:t>
            </w:r>
            <w:r>
              <w:rPr>
                <w:rFonts w:cs="Times New Roman"/>
                <w:color w:val="auto"/>
                <w:spacing w:val="2"/>
              </w:rPr>
              <w:t>最</w:t>
            </w:r>
            <w:r>
              <w:rPr>
                <w:rFonts w:cs="Times New Roman"/>
                <w:color w:val="auto"/>
              </w:rPr>
              <w:t>高</w:t>
            </w:r>
            <w:r>
              <w:rPr>
                <w:rFonts w:cs="Times New Roman"/>
                <w:color w:val="auto"/>
                <w:spacing w:val="2"/>
              </w:rPr>
              <w:t>气</w:t>
            </w:r>
            <w:r>
              <w:rPr>
                <w:rFonts w:cs="Times New Roman"/>
                <w:color w:val="auto"/>
              </w:rPr>
              <w:t>温</w:t>
            </w:r>
            <w:r>
              <w:rPr>
                <w:rFonts w:cs="Times New Roman"/>
                <w:color w:val="auto"/>
                <w:spacing w:val="2"/>
              </w:rPr>
              <w:t>（℃</w:t>
            </w:r>
            <w:r>
              <w:rPr>
                <w:rFonts w:cs="Times New Roman"/>
                <w:color w:val="auto"/>
              </w:rPr>
              <w:t>）</w:t>
            </w:r>
          </w:p>
        </w:tc>
        <w:tc>
          <w:tcPr>
            <w:tcW w:w="3784"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Cs w:val="24"/>
                <w:lang w:val="en-US" w:eastAsia="zh-CN"/>
              </w:rPr>
            </w:pPr>
            <w:r>
              <w:rPr>
                <w:rFonts w:hint="eastAsia" w:cs="Times New Roman"/>
                <w:color w:val="auto"/>
                <w:spacing w:val="1"/>
                <w:w w:val="83"/>
                <w:position w:val="-2"/>
                <w:lang w:val="en-US" w:eastAsia="zh-CN"/>
              </w:rPr>
              <w:t>35.9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 w:type="dxa"/>
            <w:bottom w:w="0" w:type="dxa"/>
            <w:right w:w="11" w:type="dxa"/>
          </w:tblCellMar>
        </w:tblPrEx>
        <w:trPr>
          <w:trHeight w:val="340" w:hRule="atLeast"/>
        </w:trPr>
        <w:tc>
          <w:tcPr>
            <w:tcW w:w="4544" w:type="dxa"/>
            <w:gridSpan w:val="2"/>
            <w:vAlign w:val="center"/>
          </w:tcPr>
          <w:p>
            <w:pPr>
              <w:pStyle w:val="52"/>
              <w:keepNext w:val="0"/>
              <w:keepLines w:val="0"/>
              <w:widowControl/>
              <w:suppressLineNumbers w:val="0"/>
              <w:spacing w:before="0" w:beforeAutospacing="0" w:after="0" w:afterAutospacing="0"/>
              <w:ind w:left="0" w:right="0"/>
              <w:rPr>
                <w:rFonts w:cs="Times New Roman"/>
                <w:color w:val="auto"/>
                <w:szCs w:val="24"/>
              </w:rPr>
            </w:pPr>
            <w:r>
              <w:rPr>
                <w:rFonts w:cs="Times New Roman"/>
                <w:color w:val="auto"/>
              </w:rPr>
              <w:t>年</w:t>
            </w:r>
            <w:r>
              <w:rPr>
                <w:rFonts w:cs="Times New Roman"/>
                <w:color w:val="auto"/>
                <w:spacing w:val="2"/>
              </w:rPr>
              <w:t>最</w:t>
            </w:r>
            <w:r>
              <w:rPr>
                <w:rFonts w:cs="Times New Roman"/>
                <w:color w:val="auto"/>
              </w:rPr>
              <w:t>低</w:t>
            </w:r>
            <w:r>
              <w:rPr>
                <w:rFonts w:cs="Times New Roman"/>
                <w:color w:val="auto"/>
                <w:spacing w:val="2"/>
              </w:rPr>
              <w:t>气</w:t>
            </w:r>
            <w:r>
              <w:rPr>
                <w:rFonts w:cs="Times New Roman"/>
                <w:color w:val="auto"/>
              </w:rPr>
              <w:t>温</w:t>
            </w:r>
            <w:r>
              <w:rPr>
                <w:rFonts w:cs="Times New Roman"/>
                <w:color w:val="auto"/>
                <w:spacing w:val="2"/>
              </w:rPr>
              <w:t>（℃</w:t>
            </w:r>
            <w:r>
              <w:rPr>
                <w:rFonts w:cs="Times New Roman"/>
                <w:color w:val="auto"/>
              </w:rPr>
              <w:t>）</w:t>
            </w:r>
          </w:p>
        </w:tc>
        <w:tc>
          <w:tcPr>
            <w:tcW w:w="3784"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Cs w:val="24"/>
                <w:lang w:val="en-US" w:eastAsia="zh-CN"/>
              </w:rPr>
            </w:pPr>
            <w:r>
              <w:rPr>
                <w:rFonts w:cs="Times New Roman"/>
                <w:color w:val="auto"/>
                <w:w w:val="53"/>
                <w:position w:val="-2"/>
              </w:rPr>
              <w:t>-</w:t>
            </w:r>
            <w:r>
              <w:rPr>
                <w:rFonts w:hint="eastAsia" w:cs="Times New Roman"/>
                <w:color w:val="auto"/>
                <w:spacing w:val="1"/>
                <w:w w:val="83"/>
                <w:position w:val="-2"/>
                <w:lang w:val="en-US" w:eastAsia="zh-CN"/>
              </w:rPr>
              <w:t>15.9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 w:type="dxa"/>
            <w:bottom w:w="0" w:type="dxa"/>
            <w:right w:w="11" w:type="dxa"/>
          </w:tblCellMar>
        </w:tblPrEx>
        <w:trPr>
          <w:trHeight w:val="340" w:hRule="atLeast"/>
        </w:trPr>
        <w:tc>
          <w:tcPr>
            <w:tcW w:w="4544" w:type="dxa"/>
            <w:gridSpan w:val="2"/>
            <w:vAlign w:val="center"/>
          </w:tcPr>
          <w:p>
            <w:pPr>
              <w:pStyle w:val="52"/>
              <w:keepNext w:val="0"/>
              <w:keepLines w:val="0"/>
              <w:widowControl/>
              <w:suppressLineNumbers w:val="0"/>
              <w:spacing w:before="0" w:beforeAutospacing="0" w:after="0" w:afterAutospacing="0"/>
              <w:ind w:left="0" w:right="0"/>
              <w:rPr>
                <w:rFonts w:cs="Times New Roman"/>
                <w:color w:val="auto"/>
                <w:szCs w:val="24"/>
              </w:rPr>
            </w:pPr>
            <w:r>
              <w:rPr>
                <w:rFonts w:cs="Times New Roman"/>
                <w:color w:val="auto"/>
              </w:rPr>
              <w:t>年</w:t>
            </w:r>
            <w:r>
              <w:rPr>
                <w:rFonts w:cs="Times New Roman"/>
                <w:color w:val="auto"/>
                <w:spacing w:val="2"/>
              </w:rPr>
              <w:t>平</w:t>
            </w:r>
            <w:r>
              <w:rPr>
                <w:rFonts w:cs="Times New Roman"/>
                <w:color w:val="auto"/>
              </w:rPr>
              <w:t>均</w:t>
            </w:r>
            <w:r>
              <w:rPr>
                <w:rFonts w:cs="Times New Roman"/>
                <w:color w:val="auto"/>
                <w:spacing w:val="2"/>
              </w:rPr>
              <w:t>相</w:t>
            </w:r>
            <w:r>
              <w:rPr>
                <w:rFonts w:cs="Times New Roman"/>
                <w:color w:val="auto"/>
              </w:rPr>
              <w:t>对</w:t>
            </w:r>
            <w:r>
              <w:rPr>
                <w:rFonts w:cs="Times New Roman"/>
                <w:color w:val="auto"/>
                <w:spacing w:val="2"/>
              </w:rPr>
              <w:t>湿</w:t>
            </w:r>
            <w:r>
              <w:rPr>
                <w:rFonts w:cs="Times New Roman"/>
                <w:color w:val="auto"/>
              </w:rPr>
              <w:t>度</w:t>
            </w:r>
            <w:r>
              <w:rPr>
                <w:rFonts w:cs="Times New Roman"/>
                <w:color w:val="auto"/>
                <w:spacing w:val="2"/>
              </w:rPr>
              <w:t>（</w:t>
            </w:r>
            <w:r>
              <w:rPr>
                <w:rFonts w:cs="Times New Roman"/>
                <w:color w:val="auto"/>
                <w:spacing w:val="1"/>
              </w:rPr>
              <w:t>%</w:t>
            </w:r>
            <w:r>
              <w:rPr>
                <w:rFonts w:cs="Times New Roman"/>
                <w:color w:val="auto"/>
              </w:rPr>
              <w:t>）</w:t>
            </w:r>
          </w:p>
        </w:tc>
        <w:tc>
          <w:tcPr>
            <w:tcW w:w="3784"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Cs w:val="24"/>
                <w:lang w:val="en-US" w:eastAsia="zh-CN"/>
              </w:rPr>
            </w:pPr>
            <w:r>
              <w:rPr>
                <w:rFonts w:hint="eastAsia" w:cs="Times New Roman"/>
                <w:color w:val="auto"/>
                <w:spacing w:val="1"/>
                <w:w w:val="83"/>
                <w:position w:val="-3"/>
                <w:lang w:val="en-US" w:eastAsia="zh-CN"/>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 w:type="dxa"/>
            <w:bottom w:w="0" w:type="dxa"/>
            <w:right w:w="11" w:type="dxa"/>
          </w:tblCellMar>
        </w:tblPrEx>
        <w:trPr>
          <w:trHeight w:val="340" w:hRule="atLeast"/>
        </w:trPr>
        <w:tc>
          <w:tcPr>
            <w:tcW w:w="1123" w:type="dxa"/>
            <w:vAlign w:val="center"/>
          </w:tcPr>
          <w:p>
            <w:pPr>
              <w:pStyle w:val="52"/>
              <w:keepNext w:val="0"/>
              <w:keepLines w:val="0"/>
              <w:widowControl/>
              <w:suppressLineNumbers w:val="0"/>
              <w:spacing w:before="0" w:beforeAutospacing="0" w:after="0" w:afterAutospacing="0"/>
              <w:ind w:left="0" w:right="0"/>
              <w:rPr>
                <w:rFonts w:cs="Times New Roman"/>
                <w:color w:val="auto"/>
                <w:szCs w:val="24"/>
              </w:rPr>
            </w:pPr>
            <w:r>
              <w:rPr>
                <w:rFonts w:cs="Times New Roman"/>
                <w:color w:val="auto"/>
              </w:rPr>
              <w:t>降</w:t>
            </w:r>
            <w:r>
              <w:rPr>
                <w:rFonts w:cs="Times New Roman"/>
                <w:color w:val="auto"/>
                <w:spacing w:val="2"/>
              </w:rPr>
              <w:t>雨</w:t>
            </w:r>
            <w:r>
              <w:rPr>
                <w:rFonts w:cs="Times New Roman"/>
                <w:color w:val="auto"/>
              </w:rPr>
              <w:t>量</w:t>
            </w:r>
          </w:p>
        </w:tc>
        <w:tc>
          <w:tcPr>
            <w:tcW w:w="3421" w:type="dxa"/>
            <w:vAlign w:val="center"/>
          </w:tcPr>
          <w:p>
            <w:pPr>
              <w:pStyle w:val="52"/>
              <w:keepNext w:val="0"/>
              <w:keepLines w:val="0"/>
              <w:widowControl/>
              <w:suppressLineNumbers w:val="0"/>
              <w:spacing w:before="0" w:beforeAutospacing="0" w:after="0" w:afterAutospacing="0"/>
              <w:ind w:left="0" w:right="0"/>
              <w:rPr>
                <w:rFonts w:cs="Times New Roman"/>
                <w:color w:val="auto"/>
                <w:szCs w:val="24"/>
              </w:rPr>
            </w:pPr>
            <w:r>
              <w:rPr>
                <w:rFonts w:cs="Times New Roman"/>
                <w:color w:val="auto"/>
              </w:rPr>
              <w:t>多</w:t>
            </w:r>
            <w:r>
              <w:rPr>
                <w:rFonts w:cs="Times New Roman"/>
                <w:color w:val="auto"/>
                <w:spacing w:val="2"/>
              </w:rPr>
              <w:t>年</w:t>
            </w:r>
            <w:r>
              <w:rPr>
                <w:rFonts w:cs="Times New Roman"/>
                <w:color w:val="auto"/>
              </w:rPr>
              <w:t>平</w:t>
            </w:r>
            <w:r>
              <w:rPr>
                <w:rFonts w:cs="Times New Roman"/>
                <w:color w:val="auto"/>
                <w:spacing w:val="2"/>
              </w:rPr>
              <w:t>均</w:t>
            </w:r>
            <w:r>
              <w:rPr>
                <w:rFonts w:cs="Times New Roman"/>
                <w:color w:val="auto"/>
              </w:rPr>
              <w:t>降</w:t>
            </w:r>
            <w:r>
              <w:rPr>
                <w:rFonts w:cs="Times New Roman"/>
                <w:color w:val="auto"/>
                <w:spacing w:val="2"/>
              </w:rPr>
              <w:t>雨</w:t>
            </w:r>
            <w:r>
              <w:rPr>
                <w:rFonts w:cs="Times New Roman"/>
                <w:color w:val="auto"/>
              </w:rPr>
              <w:t>量</w:t>
            </w:r>
            <w:r>
              <w:rPr>
                <w:rFonts w:cs="Times New Roman"/>
                <w:color w:val="auto"/>
                <w:spacing w:val="2"/>
              </w:rPr>
              <w:t>（</w:t>
            </w:r>
            <w:r>
              <w:rPr>
                <w:rFonts w:cs="Times New Roman"/>
                <w:color w:val="auto"/>
                <w:spacing w:val="-2"/>
              </w:rPr>
              <w:t>m</w:t>
            </w:r>
            <w:r>
              <w:rPr>
                <w:rFonts w:cs="Times New Roman"/>
                <w:color w:val="auto"/>
                <w:spacing w:val="1"/>
              </w:rPr>
              <w:t>m</w:t>
            </w:r>
            <w:r>
              <w:rPr>
                <w:rFonts w:cs="Times New Roman"/>
                <w:color w:val="auto"/>
              </w:rPr>
              <w:t>）</w:t>
            </w:r>
          </w:p>
        </w:tc>
        <w:tc>
          <w:tcPr>
            <w:tcW w:w="3784"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Cs w:val="24"/>
                <w:lang w:val="en-US" w:eastAsia="zh-CN"/>
              </w:rPr>
            </w:pPr>
            <w:r>
              <w:rPr>
                <w:rFonts w:hint="eastAsia" w:cs="Times New Roman"/>
                <w:color w:val="auto"/>
                <w:spacing w:val="1"/>
                <w:w w:val="83"/>
                <w:position w:val="-3"/>
                <w:lang w:val="en-US" w:eastAsia="zh-CN"/>
              </w:rPr>
              <w:t>705.2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 w:type="dxa"/>
            <w:bottom w:w="0" w:type="dxa"/>
            <w:right w:w="11" w:type="dxa"/>
          </w:tblCellMar>
        </w:tblPrEx>
        <w:trPr>
          <w:trHeight w:val="340" w:hRule="atLeast"/>
        </w:trPr>
        <w:tc>
          <w:tcPr>
            <w:tcW w:w="4544" w:type="dxa"/>
            <w:gridSpan w:val="2"/>
            <w:vAlign w:val="center"/>
          </w:tcPr>
          <w:p>
            <w:pPr>
              <w:pStyle w:val="52"/>
              <w:keepNext w:val="0"/>
              <w:keepLines w:val="0"/>
              <w:widowControl/>
              <w:suppressLineNumbers w:val="0"/>
              <w:spacing w:before="0" w:beforeAutospacing="0" w:after="0" w:afterAutospacing="0"/>
              <w:ind w:left="0" w:right="0"/>
              <w:rPr>
                <w:rFonts w:cs="Times New Roman"/>
                <w:color w:val="auto"/>
                <w:szCs w:val="24"/>
              </w:rPr>
            </w:pPr>
            <w:r>
              <w:rPr>
                <w:rFonts w:cs="Times New Roman"/>
                <w:color w:val="auto"/>
                <w:w w:val="99"/>
              </w:rPr>
              <w:t>全</w:t>
            </w:r>
            <w:r>
              <w:rPr>
                <w:rFonts w:cs="Times New Roman"/>
                <w:color w:val="auto"/>
                <w:spacing w:val="2"/>
                <w:w w:val="99"/>
              </w:rPr>
              <w:t>年</w:t>
            </w:r>
            <w:r>
              <w:rPr>
                <w:rFonts w:cs="Times New Roman"/>
                <w:color w:val="auto"/>
                <w:w w:val="99"/>
              </w:rPr>
              <w:t>无</w:t>
            </w:r>
            <w:r>
              <w:rPr>
                <w:rFonts w:cs="Times New Roman"/>
                <w:color w:val="auto"/>
                <w:spacing w:val="2"/>
                <w:w w:val="99"/>
              </w:rPr>
              <w:t>霜</w:t>
            </w:r>
            <w:r>
              <w:rPr>
                <w:rFonts w:cs="Times New Roman"/>
                <w:color w:val="auto"/>
                <w:w w:val="99"/>
              </w:rPr>
              <w:t>期</w:t>
            </w:r>
            <w:r>
              <w:rPr>
                <w:rFonts w:cs="Times New Roman"/>
                <w:color w:val="auto"/>
                <w:spacing w:val="2"/>
                <w:w w:val="99"/>
              </w:rPr>
              <w:t>（</w:t>
            </w:r>
            <w:r>
              <w:rPr>
                <w:rFonts w:cs="Times New Roman"/>
                <w:color w:val="auto"/>
                <w:spacing w:val="1"/>
                <w:w w:val="86"/>
              </w:rPr>
              <w:t>d</w:t>
            </w:r>
            <w:r>
              <w:rPr>
                <w:rFonts w:cs="Times New Roman"/>
                <w:color w:val="auto"/>
                <w:w w:val="99"/>
              </w:rPr>
              <w:t>）</w:t>
            </w:r>
          </w:p>
        </w:tc>
        <w:tc>
          <w:tcPr>
            <w:tcW w:w="3784"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Cs w:val="24"/>
                <w:lang w:val="en-US" w:eastAsia="zh-CN"/>
              </w:rPr>
            </w:pPr>
            <w:r>
              <w:rPr>
                <w:rFonts w:hint="eastAsia" w:cs="Times New Roman"/>
                <w:color w:val="auto"/>
                <w:spacing w:val="-4"/>
                <w:w w:val="83"/>
                <w:position w:val="-3"/>
                <w:lang w:val="en-US" w:eastAsia="zh-CN"/>
              </w:rPr>
              <w:t>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 w:type="dxa"/>
            <w:bottom w:w="0" w:type="dxa"/>
            <w:right w:w="11" w:type="dxa"/>
          </w:tblCellMar>
        </w:tblPrEx>
        <w:trPr>
          <w:trHeight w:val="340" w:hRule="atLeast"/>
        </w:trPr>
        <w:tc>
          <w:tcPr>
            <w:tcW w:w="4544" w:type="dxa"/>
            <w:gridSpan w:val="2"/>
            <w:vAlign w:val="center"/>
          </w:tcPr>
          <w:p>
            <w:pPr>
              <w:pStyle w:val="52"/>
              <w:keepNext w:val="0"/>
              <w:keepLines w:val="0"/>
              <w:widowControl/>
              <w:suppressLineNumbers w:val="0"/>
              <w:spacing w:before="0" w:beforeAutospacing="0" w:after="0" w:afterAutospacing="0"/>
              <w:ind w:left="0" w:right="0"/>
              <w:rPr>
                <w:rFonts w:cs="Times New Roman"/>
                <w:color w:val="auto"/>
                <w:szCs w:val="24"/>
              </w:rPr>
            </w:pPr>
            <w:r>
              <w:rPr>
                <w:rFonts w:cs="Times New Roman"/>
                <w:color w:val="auto"/>
              </w:rPr>
              <w:t>年</w:t>
            </w:r>
            <w:r>
              <w:rPr>
                <w:rFonts w:cs="Times New Roman"/>
                <w:color w:val="auto"/>
                <w:spacing w:val="2"/>
              </w:rPr>
              <w:t>平</w:t>
            </w:r>
            <w:r>
              <w:rPr>
                <w:rFonts w:cs="Times New Roman"/>
                <w:color w:val="auto"/>
              </w:rPr>
              <w:t>均</w:t>
            </w:r>
            <w:r>
              <w:rPr>
                <w:rFonts w:cs="Times New Roman"/>
                <w:color w:val="auto"/>
                <w:spacing w:val="2"/>
              </w:rPr>
              <w:t>日</w:t>
            </w:r>
            <w:r>
              <w:rPr>
                <w:rFonts w:cs="Times New Roman"/>
                <w:color w:val="auto"/>
              </w:rPr>
              <w:t>照</w:t>
            </w:r>
            <w:r>
              <w:rPr>
                <w:rFonts w:cs="Times New Roman"/>
                <w:color w:val="auto"/>
                <w:spacing w:val="2"/>
              </w:rPr>
              <w:t>数（</w:t>
            </w:r>
            <w:r>
              <w:rPr>
                <w:rFonts w:cs="Times New Roman"/>
                <w:color w:val="auto"/>
                <w:spacing w:val="-1"/>
              </w:rPr>
              <w:t>h</w:t>
            </w:r>
            <w:r>
              <w:rPr>
                <w:rFonts w:cs="Times New Roman"/>
                <w:color w:val="auto"/>
              </w:rPr>
              <w:t>）</w:t>
            </w:r>
          </w:p>
        </w:tc>
        <w:tc>
          <w:tcPr>
            <w:tcW w:w="3784"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Cs w:val="24"/>
                <w:lang w:val="en-US" w:eastAsia="zh-CN"/>
              </w:rPr>
            </w:pPr>
            <w:r>
              <w:rPr>
                <w:rFonts w:hint="eastAsia" w:cs="Times New Roman"/>
                <w:color w:val="auto"/>
                <w:spacing w:val="1"/>
                <w:w w:val="83"/>
                <w:position w:val="-3"/>
                <w:lang w:val="en-US" w:eastAsia="zh-CN"/>
              </w:rPr>
              <w:t>2125.9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 w:type="dxa"/>
            <w:bottom w:w="0" w:type="dxa"/>
            <w:right w:w="11" w:type="dxa"/>
          </w:tblCellMar>
        </w:tblPrEx>
        <w:trPr>
          <w:trHeight w:val="340" w:hRule="atLeast"/>
        </w:trPr>
        <w:tc>
          <w:tcPr>
            <w:tcW w:w="4544" w:type="dxa"/>
            <w:gridSpan w:val="2"/>
            <w:vAlign w:val="center"/>
          </w:tcPr>
          <w:p>
            <w:pPr>
              <w:pStyle w:val="52"/>
              <w:keepNext w:val="0"/>
              <w:keepLines w:val="0"/>
              <w:widowControl/>
              <w:suppressLineNumbers w:val="0"/>
              <w:spacing w:before="0" w:beforeAutospacing="0" w:after="0" w:afterAutospacing="0"/>
              <w:ind w:left="0" w:right="0"/>
              <w:rPr>
                <w:rFonts w:cs="Times New Roman"/>
                <w:color w:val="auto"/>
                <w:szCs w:val="24"/>
              </w:rPr>
            </w:pPr>
            <w:r>
              <w:rPr>
                <w:rFonts w:cs="Times New Roman"/>
                <w:color w:val="auto"/>
                <w:spacing w:val="1"/>
                <w:w w:val="67"/>
              </w:rPr>
              <w:t>≥</w:t>
            </w:r>
            <w:r>
              <w:rPr>
                <w:rFonts w:cs="Times New Roman"/>
                <w:color w:val="auto"/>
                <w:spacing w:val="1"/>
                <w:w w:val="83"/>
              </w:rPr>
              <w:t>10</w:t>
            </w:r>
            <w:r>
              <w:rPr>
                <w:rFonts w:cs="Times New Roman"/>
                <w:color w:val="auto"/>
                <w:w w:val="101"/>
              </w:rPr>
              <w:t>℃</w:t>
            </w:r>
            <w:r>
              <w:rPr>
                <w:rFonts w:cs="Times New Roman"/>
                <w:color w:val="auto"/>
                <w:w w:val="99"/>
              </w:rPr>
              <w:t>积温</w:t>
            </w:r>
          </w:p>
        </w:tc>
        <w:tc>
          <w:tcPr>
            <w:tcW w:w="3784"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Cs w:val="24"/>
                <w:lang w:val="en-US" w:eastAsia="zh-CN"/>
              </w:rPr>
            </w:pPr>
            <w:r>
              <w:rPr>
                <w:rFonts w:hint="eastAsia" w:cs="Times New Roman"/>
                <w:color w:val="auto"/>
                <w:spacing w:val="1"/>
                <w:w w:val="83"/>
                <w:position w:val="-3"/>
                <w:lang w:val="en-US" w:eastAsia="zh-CN"/>
              </w:rPr>
              <w:t>1147.7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 w:type="dxa"/>
            <w:bottom w:w="0" w:type="dxa"/>
            <w:right w:w="11" w:type="dxa"/>
          </w:tblCellMar>
        </w:tblPrEx>
        <w:trPr>
          <w:trHeight w:val="340" w:hRule="atLeast"/>
        </w:trPr>
        <w:tc>
          <w:tcPr>
            <w:tcW w:w="4544" w:type="dxa"/>
            <w:gridSpan w:val="2"/>
            <w:vAlign w:val="center"/>
          </w:tcPr>
          <w:p>
            <w:pPr>
              <w:pStyle w:val="52"/>
              <w:keepNext w:val="0"/>
              <w:keepLines w:val="0"/>
              <w:widowControl/>
              <w:suppressLineNumbers w:val="0"/>
              <w:spacing w:before="0" w:beforeAutospacing="0" w:after="0" w:afterAutospacing="0"/>
              <w:ind w:left="0" w:right="0"/>
              <w:rPr>
                <w:rFonts w:cs="Times New Roman"/>
                <w:color w:val="auto"/>
                <w:szCs w:val="24"/>
              </w:rPr>
            </w:pPr>
            <w:r>
              <w:rPr>
                <w:rFonts w:cs="Times New Roman"/>
                <w:color w:val="auto"/>
                <w:w w:val="99"/>
              </w:rPr>
              <w:t>多</w:t>
            </w:r>
            <w:r>
              <w:rPr>
                <w:rFonts w:cs="Times New Roman"/>
                <w:color w:val="auto"/>
                <w:spacing w:val="2"/>
                <w:w w:val="99"/>
              </w:rPr>
              <w:t>年</w:t>
            </w:r>
            <w:r>
              <w:rPr>
                <w:rFonts w:cs="Times New Roman"/>
                <w:color w:val="auto"/>
                <w:w w:val="99"/>
              </w:rPr>
              <w:t>平</w:t>
            </w:r>
            <w:r>
              <w:rPr>
                <w:rFonts w:cs="Times New Roman"/>
                <w:color w:val="auto"/>
                <w:spacing w:val="2"/>
                <w:w w:val="99"/>
              </w:rPr>
              <w:t>均</w:t>
            </w:r>
            <w:r>
              <w:rPr>
                <w:rFonts w:cs="Times New Roman"/>
                <w:color w:val="auto"/>
                <w:w w:val="99"/>
              </w:rPr>
              <w:t>风</w:t>
            </w:r>
            <w:r>
              <w:rPr>
                <w:rFonts w:cs="Times New Roman"/>
                <w:color w:val="auto"/>
                <w:spacing w:val="2"/>
                <w:w w:val="99"/>
              </w:rPr>
              <w:t>速（</w:t>
            </w:r>
            <w:r>
              <w:rPr>
                <w:rFonts w:cs="Times New Roman"/>
                <w:color w:val="auto"/>
                <w:spacing w:val="-2"/>
                <w:w w:val="91"/>
              </w:rPr>
              <w:t>m</w:t>
            </w:r>
            <w:r>
              <w:rPr>
                <w:rFonts w:cs="Times New Roman"/>
                <w:color w:val="auto"/>
                <w:spacing w:val="2"/>
                <w:w w:val="73"/>
              </w:rPr>
              <w:t>/</w:t>
            </w:r>
            <w:r>
              <w:rPr>
                <w:rFonts w:cs="Times New Roman"/>
                <w:color w:val="auto"/>
                <w:w w:val="74"/>
              </w:rPr>
              <w:t>s</w:t>
            </w:r>
            <w:r>
              <w:rPr>
                <w:rFonts w:cs="Times New Roman"/>
                <w:color w:val="auto"/>
                <w:w w:val="99"/>
              </w:rPr>
              <w:t>）</w:t>
            </w:r>
          </w:p>
        </w:tc>
        <w:tc>
          <w:tcPr>
            <w:tcW w:w="3784"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Cs w:val="24"/>
                <w:lang w:val="en-US" w:eastAsia="zh-CN"/>
              </w:rPr>
            </w:pPr>
            <w:r>
              <w:rPr>
                <w:rFonts w:hint="eastAsia" w:cs="Times New Roman"/>
                <w:color w:val="auto"/>
                <w:spacing w:val="1"/>
                <w:w w:val="83"/>
                <w:position w:val="-3"/>
                <w:lang w:val="en-US" w:eastAsia="zh-CN"/>
              </w:rPr>
              <w:t>1.7</w:t>
            </w:r>
          </w:p>
        </w:tc>
      </w:tr>
    </w:tbl>
    <w:p>
      <w:pPr>
        <w:pStyle w:val="5"/>
        <w:spacing w:before="120"/>
      </w:pPr>
      <w:r>
        <w:t>水文</w:t>
      </w:r>
    </w:p>
    <w:p>
      <w:pPr>
        <w:widowControl w:val="0"/>
        <w:adjustRightInd/>
        <w:spacing w:before="120"/>
        <w:ind w:firstLine="480"/>
      </w:pPr>
      <w:r>
        <w:rPr>
          <w:rFonts w:hint="eastAsia"/>
          <w:lang w:eastAsia="zh-CN"/>
        </w:rPr>
        <w:t>霍曲河属雅砻江中游右岸一级支流，发源于理塘县毛垭区北部村戈村一带海拔近5000m的山原草甸区，由北向南流，右纳鄂日阔至大河边后折向东南流，经雅江县德差乡，分别从左右岸汇入果亚库和达希库后，再经德差、多隆、雄美形成近30km的大河弯，然后由南向北流，至牙巴附近左岸汇入最大支流吉珠沟(又称俄洛河)后，折向东流于热嘎附近注入雅砻江。霍曲河干流全长172km，平均比降12.3‰，控制流域面积3333km</w:t>
      </w:r>
      <w:r>
        <w:rPr>
          <w:rFonts w:hint="eastAsia"/>
          <w:vertAlign w:val="superscript"/>
          <w:lang w:eastAsia="zh-CN"/>
        </w:rPr>
        <w:t>2</w:t>
      </w:r>
      <w:r>
        <w:rPr>
          <w:rFonts w:hint="eastAsia"/>
          <w:lang w:eastAsia="zh-CN"/>
        </w:rPr>
        <w:t>，河口多年平均流量 52.2m</w:t>
      </w:r>
      <w:r>
        <w:rPr>
          <w:rFonts w:hint="eastAsia"/>
          <w:vertAlign w:val="superscript"/>
          <w:lang w:eastAsia="zh-CN"/>
        </w:rPr>
        <w:t>3</w:t>
      </w:r>
      <w:r>
        <w:rPr>
          <w:rFonts w:hint="eastAsia"/>
          <w:lang w:eastAsia="zh-CN"/>
        </w:rPr>
        <w:t>/s。本项目线路塔位基本位于山腰或山间，不受上述河流洪水影响</w:t>
      </w:r>
      <w:r>
        <w:rPr>
          <w:rFonts w:hint="eastAsia"/>
        </w:rPr>
        <w:t>。</w:t>
      </w:r>
    </w:p>
    <w:p>
      <w:pPr>
        <w:pStyle w:val="5"/>
        <w:spacing w:before="120"/>
      </w:pPr>
      <w:r>
        <w:t>土壤</w:t>
      </w:r>
    </w:p>
    <w:p>
      <w:pPr>
        <w:tabs>
          <w:tab w:val="left" w:pos="4260"/>
        </w:tabs>
        <w:spacing w:before="120"/>
        <w:ind w:firstLine="480"/>
        <w:rPr>
          <w:rFonts w:hint="eastAsia"/>
          <w:lang w:val="zh-CN"/>
        </w:rPr>
      </w:pPr>
      <w:r>
        <w:rPr>
          <w:rFonts w:hint="eastAsia"/>
          <w:lang w:val="zh-CN"/>
        </w:rPr>
        <w:t>雅江县全县土壤分为9个土类15个亚类。县域内土壤分布表现出明显的垂直带差异，土壤垂直分布的基带土为褐土，土壤垂直分布自下而上依次为：海拔2500～3000m为潮土和灰褐土，3000～3500m多为山地褐土，3500～4200m 为灰褐土、山地棕壤、山地暗棕壤、亚高山草甸土，4200～4700m为高山草甸土、草甸沼泽土，4700m以上为高山寒漠土等。土壤平均厚度在30～90cm，土壤土壤有机质、全磷、全钾含量均达丰富或极丰富水平，但有效性差，一般缺磷、少氮、多钾，养分不全面。</w:t>
      </w:r>
    </w:p>
    <w:p>
      <w:pPr>
        <w:tabs>
          <w:tab w:val="left" w:pos="4260"/>
        </w:tabs>
        <w:spacing w:before="120"/>
        <w:ind w:firstLine="480"/>
      </w:pPr>
      <w:r>
        <w:rPr>
          <w:rFonts w:hint="eastAsia"/>
          <w:lang w:val="zh-CN"/>
        </w:rPr>
        <w:t>项目区土壤类型主要为灰褐土，土壤厚度0.2~0.4m之间</w:t>
      </w:r>
      <w:r>
        <w:t>。</w:t>
      </w:r>
    </w:p>
    <w:p>
      <w:pPr>
        <w:pStyle w:val="5"/>
        <w:spacing w:before="120"/>
      </w:pPr>
      <w:r>
        <w:t>植被</w:t>
      </w:r>
    </w:p>
    <w:p>
      <w:pPr>
        <w:spacing w:before="120"/>
        <w:ind w:firstLine="480"/>
        <w:rPr>
          <w:rFonts w:hint="eastAsia"/>
          <w:lang w:val="zh-CN"/>
        </w:rPr>
      </w:pPr>
      <w:bookmarkStart w:id="24" w:name="_Toc515873304"/>
      <w:r>
        <w:rPr>
          <w:rFonts w:hint="eastAsia"/>
          <w:lang w:val="zh-CN"/>
        </w:rPr>
        <w:t>雅江县全县植被受立体地形和气候的制约，呈垂直分布，形成典型的高原山区植物群落，林地主要分布在境内雅砻江各大小支流的阴坡和河谷内，呈不连续的片状、带状、斑状与草地或耕地相间。其群落垂直分布由下至上分别为：落叶阔叶林→针阔混交林→针叶林→灌丛及阴暗针叶林→高山草甸灌丛→稀疏草甸灌丛等。霍曲河流域由森林和草地两部分组成，在海拔4100m以上为草地，海拔4100以下为森林，以针叶树为主，森林覆盖度在60-80%。</w:t>
      </w:r>
    </w:p>
    <w:p>
      <w:pPr>
        <w:spacing w:before="120"/>
        <w:ind w:firstLine="480"/>
        <w:rPr>
          <w:lang w:val="zh-CN"/>
        </w:rPr>
      </w:pPr>
      <w:r>
        <w:rPr>
          <w:rFonts w:hint="eastAsia"/>
          <w:lang w:val="zh-CN"/>
        </w:rPr>
        <w:t>项目区植被以针阔叶混交林为主，林草植被覆盖率达42.6%。。</w:t>
      </w:r>
    </w:p>
    <w:p>
      <w:pPr>
        <w:pStyle w:val="5"/>
        <w:spacing w:before="120"/>
      </w:pPr>
      <w:r>
        <w:t>其他</w:t>
      </w:r>
    </w:p>
    <w:p>
      <w:pPr>
        <w:tabs>
          <w:tab w:val="left" w:pos="4260"/>
        </w:tabs>
        <w:spacing w:before="120"/>
        <w:ind w:firstLine="480"/>
      </w:pPr>
      <w:r>
        <w:rPr>
          <w:rFonts w:hint="eastAsia"/>
        </w:rPr>
        <w:t>本项目施工建设区域不涉及饮水水源保护区；沿线不涉及未在县级以上地方</w:t>
      </w:r>
      <w:r>
        <w:rPr>
          <w:rFonts w:hint="eastAsia"/>
          <w:vertAlign w:val="superscript"/>
        </w:rPr>
        <w:t xml:space="preserve"> </w:t>
      </w:r>
      <w:r>
        <w:rPr>
          <w:rFonts w:hint="eastAsia"/>
        </w:rPr>
        <w:t>人民政府划定的崩塌、滑坡危险区和泥石流易发区；不属于水土流失严重、生态</w:t>
      </w:r>
      <w:r>
        <w:rPr>
          <w:rFonts w:hint="eastAsia"/>
          <w:vertAlign w:val="superscript"/>
        </w:rPr>
        <w:t xml:space="preserve"> </w:t>
      </w:r>
      <w:r>
        <w:rPr>
          <w:rFonts w:hint="eastAsia"/>
        </w:rPr>
        <w:t>脆弱的地区；项目建设不涉及各旅游景点管理保护区范围。</w:t>
      </w:r>
    </w:p>
    <w:p>
      <w:pPr>
        <w:tabs>
          <w:tab w:val="left" w:pos="4260"/>
        </w:tabs>
        <w:spacing w:before="120"/>
        <w:ind w:firstLine="480"/>
      </w:pPr>
      <w:r>
        <w:rPr>
          <w:rFonts w:hint="eastAsia"/>
        </w:rPr>
        <w:t>根据《四川省人民政府关于印发四川省生态保护红线方案的通知》（川府发〔2018〕24</w:t>
      </w:r>
      <w:r>
        <w:rPr>
          <w:rFonts w:hint="eastAsia"/>
          <w:vertAlign w:val="superscript"/>
        </w:rPr>
        <w:t xml:space="preserve"> </w:t>
      </w:r>
      <w:r>
        <w:rPr>
          <w:rFonts w:hint="eastAsia"/>
        </w:rPr>
        <w:t>号），项目所属的雅江县涉及大雪山生物多样性维护—水土保持生态保护红线，但本项目站址及路径均不在上述生态保护红线范围内，本项目建是合理可行的</w:t>
      </w:r>
      <w:r>
        <w:t>。</w:t>
      </w:r>
    </w:p>
    <w:p>
      <w:pPr>
        <w:pStyle w:val="4"/>
        <w:spacing w:before="120"/>
      </w:pPr>
      <w:r>
        <w:t>水土流失及防治情况</w:t>
      </w:r>
      <w:bookmarkEnd w:id="24"/>
    </w:p>
    <w:p>
      <w:pPr>
        <w:pStyle w:val="5"/>
        <w:spacing w:before="120"/>
      </w:pPr>
      <w:r>
        <w:t>水土流失现状</w:t>
      </w:r>
    </w:p>
    <w:p>
      <w:pPr>
        <w:spacing w:before="120"/>
        <w:ind w:firstLine="480"/>
        <w:rPr>
          <w:rFonts w:hint="eastAsia" w:eastAsia="仿宋_GB2312"/>
          <w:lang w:eastAsia="zh-CN"/>
        </w:rPr>
      </w:pPr>
      <w:r>
        <w:rPr>
          <w:rFonts w:hint="eastAsia"/>
          <w:lang w:eastAsia="zh-CN"/>
        </w:rPr>
        <w:t>雅江</w:t>
      </w:r>
      <w:r>
        <w:rPr>
          <w:rFonts w:hint="eastAsia"/>
        </w:rPr>
        <w:t>县境内地形复杂，地质结构断裂发育，土壤土层薄、砂质多，岩石风化强</w:t>
      </w:r>
      <w:r>
        <w:rPr>
          <w:rFonts w:hint="eastAsia"/>
          <w:vertAlign w:val="superscript"/>
        </w:rPr>
        <w:t xml:space="preserve"> </w:t>
      </w:r>
      <w:r>
        <w:rPr>
          <w:rFonts w:hint="eastAsia"/>
        </w:rPr>
        <w:t>烈，抗蚀性弱，根据201</w:t>
      </w:r>
      <w:r>
        <w:rPr>
          <w:rFonts w:hint="eastAsia"/>
          <w:lang w:val="en-US" w:eastAsia="zh-CN"/>
        </w:rPr>
        <w:t>9</w:t>
      </w:r>
      <w:r>
        <w:rPr>
          <w:rFonts w:hint="eastAsia"/>
        </w:rPr>
        <w:t>年</w:t>
      </w:r>
      <w:r>
        <w:rPr>
          <w:rFonts w:hint="eastAsia"/>
          <w:lang w:val="en-US" w:eastAsia="zh-CN"/>
        </w:rPr>
        <w:t>四川省水土流失动态监测数据可知</w:t>
      </w:r>
      <w:r>
        <w:rPr>
          <w:rFonts w:hint="eastAsia"/>
        </w:rPr>
        <w:t>，</w:t>
      </w:r>
      <w:r>
        <w:rPr>
          <w:rFonts w:hint="eastAsia"/>
          <w:lang w:val="en-US" w:eastAsia="zh-CN"/>
        </w:rPr>
        <w:t>雅江县</w:t>
      </w:r>
      <w:r>
        <w:rPr>
          <w:rFonts w:hint="eastAsia"/>
        </w:rPr>
        <w:t>水土流失面积2</w:t>
      </w:r>
      <w:r>
        <w:rPr>
          <w:rFonts w:hint="eastAsia"/>
          <w:lang w:val="en-US" w:eastAsia="zh-CN"/>
        </w:rPr>
        <w:t>172.12</w:t>
      </w:r>
      <w:r>
        <w:rPr>
          <w:rFonts w:hint="eastAsia"/>
        </w:rPr>
        <w:t>km</w:t>
      </w:r>
      <w:r>
        <w:rPr>
          <w:rFonts w:hint="eastAsia"/>
          <w:vertAlign w:val="superscript"/>
        </w:rPr>
        <w:t>2</w:t>
      </w:r>
      <w:r>
        <w:rPr>
          <w:rFonts w:hint="eastAsia"/>
        </w:rPr>
        <w:t>，其中轻度流失面积1</w:t>
      </w:r>
      <w:r>
        <w:rPr>
          <w:rFonts w:hint="eastAsia"/>
          <w:lang w:val="en-US" w:eastAsia="zh-CN"/>
        </w:rPr>
        <w:t>845.12</w:t>
      </w:r>
      <w:r>
        <w:rPr>
          <w:rFonts w:hint="eastAsia"/>
        </w:rPr>
        <w:t>km</w:t>
      </w:r>
      <w:r>
        <w:rPr>
          <w:rFonts w:hint="eastAsia"/>
          <w:vertAlign w:val="superscript"/>
        </w:rPr>
        <w:t>2</w:t>
      </w:r>
      <w:r>
        <w:rPr>
          <w:rFonts w:hint="eastAsia"/>
        </w:rPr>
        <w:t xml:space="preserve">，中度流失面积 </w:t>
      </w:r>
      <w:r>
        <w:rPr>
          <w:rFonts w:hint="eastAsia"/>
          <w:lang w:val="en-US" w:eastAsia="zh-CN"/>
        </w:rPr>
        <w:t>238.05</w:t>
      </w:r>
      <w:r>
        <w:rPr>
          <w:rFonts w:hint="eastAsia"/>
        </w:rPr>
        <w:t>km</w:t>
      </w:r>
      <w:r>
        <w:rPr>
          <w:rFonts w:hint="eastAsia"/>
          <w:vertAlign w:val="superscript"/>
        </w:rPr>
        <w:t>2</w:t>
      </w:r>
      <w:r>
        <w:rPr>
          <w:rFonts w:hint="eastAsia"/>
        </w:rPr>
        <w:t>，</w:t>
      </w:r>
      <w:r>
        <w:rPr>
          <w:rFonts w:hint="eastAsia"/>
          <w:lang w:val="en-US" w:eastAsia="zh-CN"/>
        </w:rPr>
        <w:t>强烈</w:t>
      </w:r>
      <w:r>
        <w:rPr>
          <w:rFonts w:hint="eastAsia"/>
        </w:rPr>
        <w:t>流失面积</w:t>
      </w:r>
      <w:r>
        <w:rPr>
          <w:rFonts w:hint="eastAsia"/>
          <w:lang w:val="en-US" w:eastAsia="zh-CN"/>
        </w:rPr>
        <w:t>68.29</w:t>
      </w:r>
      <w:r>
        <w:rPr>
          <w:rFonts w:hint="eastAsia"/>
        </w:rPr>
        <w:t>km</w:t>
      </w:r>
      <w:r>
        <w:rPr>
          <w:rFonts w:hint="eastAsia"/>
          <w:vertAlign w:val="superscript"/>
        </w:rPr>
        <w:t>2</w:t>
      </w:r>
      <w:r>
        <w:rPr>
          <w:rFonts w:hint="eastAsia"/>
        </w:rPr>
        <w:t>，极</w:t>
      </w:r>
      <w:r>
        <w:rPr>
          <w:rFonts w:hint="eastAsia"/>
          <w:lang w:val="en-US" w:eastAsia="zh-CN"/>
        </w:rPr>
        <w:t>强烈</w:t>
      </w:r>
      <w:r>
        <w:rPr>
          <w:rFonts w:hint="eastAsia"/>
        </w:rPr>
        <w:t>流失面积</w:t>
      </w:r>
      <w:r>
        <w:rPr>
          <w:rFonts w:hint="eastAsia"/>
          <w:lang w:val="en-US" w:eastAsia="zh-CN"/>
        </w:rPr>
        <w:t>20.55</w:t>
      </w:r>
      <w:r>
        <w:rPr>
          <w:rFonts w:hint="eastAsia"/>
        </w:rPr>
        <w:t>km</w:t>
      </w:r>
      <w:r>
        <w:rPr>
          <w:rFonts w:hint="eastAsia"/>
          <w:vertAlign w:val="superscript"/>
        </w:rPr>
        <w:t>2</w:t>
      </w:r>
      <w:r>
        <w:rPr>
          <w:rFonts w:hint="eastAsia"/>
        </w:rPr>
        <w:t>，剧烈流失面积</w:t>
      </w:r>
      <w:r>
        <w:rPr>
          <w:rFonts w:hint="eastAsia"/>
          <w:lang w:val="en-US" w:eastAsia="zh-CN"/>
        </w:rPr>
        <w:t>0.11</w:t>
      </w:r>
      <w:r>
        <w:rPr>
          <w:rFonts w:hint="eastAsia"/>
        </w:rPr>
        <w:t>km</w:t>
      </w:r>
      <w:r>
        <w:rPr>
          <w:rFonts w:hint="eastAsia"/>
          <w:vertAlign w:val="superscript"/>
        </w:rPr>
        <w:t>2</w:t>
      </w:r>
      <w:r>
        <w:rPr>
          <w:rFonts w:hint="eastAsia"/>
        </w:rPr>
        <w:t>。水土流失类型主要有水力侵蚀、冻融侵蚀，以水力侵蚀为主。</w:t>
      </w:r>
    </w:p>
    <w:p>
      <w:pPr>
        <w:pStyle w:val="5"/>
        <w:spacing w:before="120"/>
      </w:pPr>
      <w:r>
        <w:t>工程区水土流失现状</w:t>
      </w:r>
    </w:p>
    <w:p>
      <w:pPr>
        <w:spacing w:before="120"/>
        <w:ind w:firstLine="480"/>
      </w:pPr>
      <w:r>
        <w:t>根据全国水土保持规划国家级水土流失重点预防区和重点治理区复核划分成果（办水保[2013]188号文）和</w:t>
      </w:r>
      <w:r>
        <w:rPr>
          <w:szCs w:val="28"/>
        </w:rPr>
        <w:t>《四川省省级水土流失重点预防区和重点治理区划分成果》（川水函[2017]482号）</w:t>
      </w:r>
      <w:r>
        <w:t>，本工程位于金沙江岷江上游及三江并流国家级水土流失重点预防区，区域内土壤容许流失量为500t/km</w:t>
      </w:r>
      <w:r>
        <w:rPr>
          <w:vertAlign w:val="superscript"/>
        </w:rPr>
        <w:t>2</w:t>
      </w:r>
      <w:r>
        <w:t>·a。</w:t>
      </w:r>
    </w:p>
    <w:p>
      <w:pPr>
        <w:spacing w:before="120"/>
        <w:ind w:firstLine="480"/>
        <w:rPr>
          <w:rFonts w:hint="eastAsia" w:eastAsia="仿宋_GB2312"/>
          <w:lang w:eastAsia="zh-CN"/>
        </w:rPr>
      </w:pPr>
      <w:r>
        <w:rPr>
          <w:rFonts w:hint="eastAsia"/>
        </w:rPr>
        <w:t>项目区以轻度水力侵蚀为主，结合项目区降水、地形地貌等因素，确定其水土流失背景流失量为33.45t/a，土壤平均侵蚀模数为1816t/km</w:t>
      </w:r>
      <w:r>
        <w:rPr>
          <w:rFonts w:hint="eastAsia"/>
          <w:vertAlign w:val="superscript"/>
        </w:rPr>
        <w:t>2</w:t>
      </w:r>
      <w:r>
        <w:rPr>
          <w:rFonts w:hint="eastAsia"/>
        </w:rPr>
        <w:t>·a</w:t>
      </w:r>
      <w:r>
        <w:rPr>
          <w:rFonts w:hint="eastAsia"/>
          <w:lang w:eastAsia="zh-CN"/>
        </w:rPr>
        <w:t>。</w:t>
      </w:r>
    </w:p>
    <w:p>
      <w:pPr>
        <w:spacing w:before="120"/>
        <w:ind w:firstLine="480"/>
      </w:pPr>
      <w:r>
        <w:t>。</w:t>
      </w:r>
    </w:p>
    <w:p>
      <w:pPr>
        <w:spacing w:before="120"/>
        <w:ind w:firstLine="480"/>
        <w:jc w:val="left"/>
        <w:sectPr>
          <w:headerReference r:id="rId25" w:type="default"/>
          <w:footerReference r:id="rId26" w:type="default"/>
          <w:pgSz w:w="11906" w:h="16838"/>
          <w:pgMar w:top="1440" w:right="1800" w:bottom="1440" w:left="1800" w:header="708" w:footer="708" w:gutter="0"/>
          <w:pgNumType w:fmt="numberInDash"/>
          <w:cols w:space="708" w:num="1"/>
          <w:docGrid w:linePitch="381" w:charSpace="0"/>
        </w:sectPr>
      </w:pPr>
    </w:p>
    <w:p>
      <w:pPr>
        <w:pStyle w:val="2"/>
      </w:pPr>
      <w:bookmarkStart w:id="25" w:name="_Toc29567"/>
      <w:bookmarkStart w:id="26" w:name="_Toc515873305"/>
      <w:r>
        <w:t>水土保持方案和设计情况</w:t>
      </w:r>
      <w:bookmarkEnd w:id="25"/>
      <w:bookmarkEnd w:id="26"/>
    </w:p>
    <w:p>
      <w:pPr>
        <w:pStyle w:val="3"/>
        <w:spacing w:before="120" w:after="120"/>
        <w:rPr>
          <w:b/>
          <w:bCs/>
        </w:rPr>
      </w:pPr>
      <w:bookmarkStart w:id="27" w:name="_Toc13492"/>
      <w:bookmarkStart w:id="28" w:name="_Toc515873306"/>
      <w:r>
        <w:rPr>
          <w:b/>
          <w:bCs/>
        </w:rPr>
        <w:t>主体工程设计</w:t>
      </w:r>
      <w:bookmarkEnd w:id="27"/>
      <w:bookmarkEnd w:id="28"/>
    </w:p>
    <w:p>
      <w:pPr>
        <w:spacing w:before="120"/>
        <w:ind w:firstLine="480"/>
        <w:rPr>
          <w:kern w:val="0"/>
        </w:rPr>
      </w:pPr>
      <w:r>
        <w:rPr>
          <w:bCs/>
        </w:rPr>
        <w:t>201</w:t>
      </w:r>
      <w:r>
        <w:rPr>
          <w:rFonts w:hint="eastAsia"/>
          <w:bCs/>
          <w:lang w:val="en-US" w:eastAsia="zh-CN"/>
        </w:rPr>
        <w:t>8</w:t>
      </w:r>
      <w:r>
        <w:rPr>
          <w:bCs/>
        </w:rPr>
        <w:t>年</w:t>
      </w:r>
      <w:r>
        <w:rPr>
          <w:rFonts w:hint="eastAsia"/>
          <w:bCs/>
          <w:lang w:val="en-US" w:eastAsia="zh-CN"/>
        </w:rPr>
        <w:t>12</w:t>
      </w:r>
      <w:r>
        <w:rPr>
          <w:bCs/>
        </w:rPr>
        <w:t>月，国网四川省电力公司甘孜供电公司委托</w:t>
      </w:r>
      <w:r>
        <w:rPr>
          <w:rFonts w:hint="eastAsia"/>
          <w:bCs/>
          <w:lang w:eastAsia="zh-CN"/>
        </w:rPr>
        <w:t>四川美卓电力设计有限公司</w:t>
      </w:r>
      <w:r>
        <w:rPr>
          <w:bCs/>
        </w:rPr>
        <w:t>编制完成</w:t>
      </w:r>
      <w:r>
        <w:t>《</w:t>
      </w:r>
      <w:r>
        <w:rPr>
          <w:rFonts w:hint="eastAsia"/>
          <w:lang w:eastAsia="zh-CN"/>
        </w:rPr>
        <w:t>甘孜雅江柯拉35千伏输变电工程</w:t>
      </w:r>
      <w:r>
        <w:t>可行性研究报告》</w:t>
      </w:r>
      <w:r>
        <w:rPr>
          <w:rFonts w:hint="eastAsia"/>
          <w:lang w:eastAsia="zh-CN"/>
        </w:rPr>
        <w:t>（</w:t>
      </w:r>
      <w:r>
        <w:rPr>
          <w:rFonts w:hint="eastAsia"/>
          <w:lang w:val="en-US" w:eastAsia="zh-CN"/>
        </w:rPr>
        <w:t>收口版</w:t>
      </w:r>
      <w:r>
        <w:rPr>
          <w:rFonts w:hint="eastAsia"/>
          <w:lang w:eastAsia="zh-CN"/>
        </w:rPr>
        <w:t>）</w:t>
      </w:r>
      <w:r>
        <w:t>并</w:t>
      </w:r>
      <w:r>
        <w:rPr>
          <w:kern w:val="0"/>
        </w:rPr>
        <w:t>开展前期工作。</w:t>
      </w:r>
    </w:p>
    <w:p>
      <w:pPr>
        <w:spacing w:before="120"/>
        <w:ind w:firstLine="480"/>
        <w:rPr>
          <w:kern w:val="0"/>
        </w:rPr>
      </w:pPr>
      <w:r>
        <w:rPr>
          <w:kern w:val="0"/>
        </w:rPr>
        <w:t>2019年</w:t>
      </w:r>
      <w:r>
        <w:rPr>
          <w:rFonts w:hint="eastAsia"/>
          <w:kern w:val="0"/>
          <w:lang w:val="en-US" w:eastAsia="zh-CN"/>
        </w:rPr>
        <w:t>1</w:t>
      </w:r>
      <w:r>
        <w:rPr>
          <w:kern w:val="0"/>
        </w:rPr>
        <w:t>月</w:t>
      </w:r>
      <w:r>
        <w:rPr>
          <w:rFonts w:hint="eastAsia"/>
          <w:kern w:val="0"/>
          <w:lang w:val="en-US" w:eastAsia="zh-CN"/>
        </w:rPr>
        <w:t>16</w:t>
      </w:r>
      <w:r>
        <w:rPr>
          <w:rFonts w:hint="eastAsia"/>
          <w:kern w:val="0"/>
        </w:rPr>
        <w:t>日</w:t>
      </w:r>
      <w:r>
        <w:rPr>
          <w:kern w:val="0"/>
        </w:rPr>
        <w:t>，甘孜州发展和改革委员会以《关于核准甘孜</w:t>
      </w:r>
      <w:r>
        <w:rPr>
          <w:rFonts w:hint="eastAsia"/>
          <w:kern w:val="0"/>
          <w:lang w:eastAsia="zh-CN"/>
        </w:rPr>
        <w:t>雅江柯拉</w:t>
      </w:r>
      <w:r>
        <w:rPr>
          <w:kern w:val="0"/>
        </w:rPr>
        <w:t xml:space="preserve"> 35 </w:t>
      </w:r>
      <w:r>
        <w:rPr>
          <w:rFonts w:hint="eastAsia"/>
          <w:kern w:val="0"/>
          <w:lang w:val="en-US" w:eastAsia="zh-CN"/>
        </w:rPr>
        <w:t>千伏</w:t>
      </w:r>
      <w:r>
        <w:rPr>
          <w:kern w:val="0"/>
        </w:rPr>
        <w:t>输变电工程</w:t>
      </w:r>
      <w:r>
        <w:rPr>
          <w:rFonts w:hint="eastAsia"/>
          <w:kern w:val="0"/>
        </w:rPr>
        <w:t>项目</w:t>
      </w:r>
      <w:r>
        <w:rPr>
          <w:kern w:val="0"/>
        </w:rPr>
        <w:t>的批复》（甘发改[2019]</w:t>
      </w:r>
      <w:r>
        <w:rPr>
          <w:rFonts w:hint="eastAsia"/>
          <w:kern w:val="0"/>
          <w:lang w:val="en-US" w:eastAsia="zh-CN"/>
        </w:rPr>
        <w:t>32</w:t>
      </w:r>
      <w:r>
        <w:rPr>
          <w:kern w:val="0"/>
        </w:rPr>
        <w:t>号）对项目进行了核准。</w:t>
      </w:r>
    </w:p>
    <w:p>
      <w:pPr>
        <w:spacing w:before="120"/>
        <w:ind w:firstLine="480"/>
        <w:rPr>
          <w:color w:val="000000" w:themeColor="text1"/>
          <w:kern w:val="0"/>
        </w:rPr>
      </w:pPr>
      <w:r>
        <w:rPr>
          <w:color w:val="000000" w:themeColor="text1"/>
          <w:kern w:val="0"/>
        </w:rPr>
        <w:t>2019年</w:t>
      </w:r>
      <w:r>
        <w:rPr>
          <w:rFonts w:hint="eastAsia"/>
          <w:color w:val="000000" w:themeColor="text1"/>
          <w:kern w:val="0"/>
          <w:lang w:val="en-US" w:eastAsia="zh-CN"/>
        </w:rPr>
        <w:t>4</w:t>
      </w:r>
      <w:r>
        <w:rPr>
          <w:color w:val="000000" w:themeColor="text1"/>
          <w:kern w:val="0"/>
        </w:rPr>
        <w:t>月，</w:t>
      </w:r>
      <w:r>
        <w:rPr>
          <w:rFonts w:hint="eastAsia"/>
          <w:color w:val="000000" w:themeColor="text1"/>
          <w:kern w:val="0"/>
          <w:lang w:eastAsia="zh-CN"/>
        </w:rPr>
        <w:t>成都城电电力工程设计有限公司</w:t>
      </w:r>
      <w:r>
        <w:rPr>
          <w:color w:val="000000" w:themeColor="text1"/>
          <w:kern w:val="0"/>
        </w:rPr>
        <w:t>完成《</w:t>
      </w:r>
      <w:r>
        <w:rPr>
          <w:rFonts w:hint="eastAsia"/>
          <w:color w:val="000000" w:themeColor="text1"/>
          <w:kern w:val="0"/>
          <w:lang w:eastAsia="zh-CN"/>
        </w:rPr>
        <w:t>甘孜雅江柯拉35千伏输变电工程</w:t>
      </w:r>
      <w:r>
        <w:rPr>
          <w:color w:val="000000" w:themeColor="text1"/>
          <w:kern w:val="0"/>
        </w:rPr>
        <w:t>初步设计报告》</w:t>
      </w:r>
      <w:r>
        <w:rPr>
          <w:rFonts w:hint="eastAsia"/>
          <w:color w:val="000000" w:themeColor="text1"/>
          <w:kern w:val="0"/>
        </w:rPr>
        <w:t>；2019年</w:t>
      </w:r>
      <w:r>
        <w:rPr>
          <w:rFonts w:hint="eastAsia"/>
          <w:color w:val="000000" w:themeColor="text1"/>
          <w:kern w:val="0"/>
          <w:lang w:val="en-US" w:eastAsia="zh-CN"/>
        </w:rPr>
        <w:t>4</w:t>
      </w:r>
      <w:r>
        <w:rPr>
          <w:rFonts w:hint="eastAsia"/>
          <w:color w:val="000000" w:themeColor="text1"/>
          <w:kern w:val="0"/>
        </w:rPr>
        <w:t>月</w:t>
      </w:r>
      <w:r>
        <w:rPr>
          <w:rFonts w:hint="eastAsia"/>
          <w:color w:val="000000" w:themeColor="text1"/>
          <w:kern w:val="0"/>
          <w:lang w:val="en-US" w:eastAsia="zh-CN"/>
        </w:rPr>
        <w:t>23</w:t>
      </w:r>
      <w:r>
        <w:rPr>
          <w:rFonts w:hint="eastAsia"/>
          <w:color w:val="000000" w:themeColor="text1"/>
          <w:kern w:val="0"/>
        </w:rPr>
        <w:t>日，</w:t>
      </w:r>
      <w:r>
        <w:rPr>
          <w:bCs/>
          <w:color w:val="000000" w:themeColor="text1"/>
        </w:rPr>
        <w:t>国网四川省电力公司甘孜供电公司</w:t>
      </w:r>
      <w:r>
        <w:rPr>
          <w:rFonts w:hint="eastAsia"/>
          <w:bCs/>
          <w:color w:val="000000" w:themeColor="text1"/>
        </w:rPr>
        <w:t>以《</w:t>
      </w:r>
      <w:r>
        <w:rPr>
          <w:color w:val="000000" w:themeColor="text1"/>
          <w:kern w:val="0"/>
        </w:rPr>
        <w:t>关于甘孜</w:t>
      </w:r>
      <w:r>
        <w:rPr>
          <w:rFonts w:hint="eastAsia"/>
          <w:color w:val="000000" w:themeColor="text1"/>
          <w:kern w:val="0"/>
          <w:lang w:eastAsia="zh-CN"/>
        </w:rPr>
        <w:t>雅江柯拉</w:t>
      </w:r>
      <w:r>
        <w:rPr>
          <w:color w:val="000000" w:themeColor="text1"/>
          <w:kern w:val="0"/>
        </w:rPr>
        <w:t xml:space="preserve"> 35</w:t>
      </w:r>
      <w:r>
        <w:rPr>
          <w:rFonts w:hint="eastAsia"/>
          <w:color w:val="000000" w:themeColor="text1"/>
          <w:kern w:val="0"/>
        </w:rPr>
        <w:t>千伏</w:t>
      </w:r>
      <w:r>
        <w:rPr>
          <w:color w:val="000000" w:themeColor="text1"/>
          <w:kern w:val="0"/>
        </w:rPr>
        <w:t>输变电</w:t>
      </w:r>
      <w:r>
        <w:rPr>
          <w:rFonts w:hint="eastAsia"/>
          <w:color w:val="000000" w:themeColor="text1"/>
          <w:kern w:val="0"/>
          <w:lang w:val="en-US" w:eastAsia="zh-CN"/>
        </w:rPr>
        <w:t>等2个</w:t>
      </w:r>
      <w:r>
        <w:rPr>
          <w:color w:val="000000" w:themeColor="text1"/>
          <w:kern w:val="0"/>
        </w:rPr>
        <w:t>工程</w:t>
      </w:r>
      <w:r>
        <w:rPr>
          <w:rFonts w:hint="eastAsia"/>
          <w:color w:val="000000" w:themeColor="text1"/>
          <w:kern w:val="0"/>
        </w:rPr>
        <w:t>初步设计</w:t>
      </w:r>
      <w:r>
        <w:rPr>
          <w:color w:val="000000" w:themeColor="text1"/>
          <w:kern w:val="0"/>
        </w:rPr>
        <w:t>的批复</w:t>
      </w:r>
      <w:r>
        <w:rPr>
          <w:rFonts w:hint="eastAsia"/>
          <w:bCs/>
          <w:color w:val="000000" w:themeColor="text1"/>
        </w:rPr>
        <w:t>》（甘电基建[2019]1</w:t>
      </w:r>
      <w:r>
        <w:rPr>
          <w:rFonts w:hint="eastAsia"/>
          <w:bCs/>
          <w:color w:val="000000" w:themeColor="text1"/>
          <w:lang w:val="en-US" w:eastAsia="zh-CN"/>
        </w:rPr>
        <w:t>0</w:t>
      </w:r>
      <w:r>
        <w:rPr>
          <w:rFonts w:hint="eastAsia"/>
          <w:bCs/>
          <w:color w:val="000000" w:themeColor="text1"/>
        </w:rPr>
        <w:t>号）对项目初步设计进行了批复</w:t>
      </w:r>
      <w:r>
        <w:rPr>
          <w:color w:val="000000" w:themeColor="text1"/>
          <w:kern w:val="0"/>
        </w:rPr>
        <w:t>。</w:t>
      </w:r>
    </w:p>
    <w:p>
      <w:pPr>
        <w:pStyle w:val="3"/>
        <w:spacing w:before="120" w:after="120"/>
        <w:ind w:left="0" w:firstLine="0"/>
        <w:rPr>
          <w:b/>
          <w:bCs/>
        </w:rPr>
      </w:pPr>
      <w:bookmarkStart w:id="29" w:name="_Toc5545"/>
      <w:bookmarkStart w:id="30" w:name="_Toc515873307"/>
      <w:r>
        <w:rPr>
          <w:b/>
          <w:bCs/>
        </w:rPr>
        <w:t>水土保持方案</w:t>
      </w:r>
      <w:bookmarkEnd w:id="29"/>
      <w:bookmarkEnd w:id="30"/>
    </w:p>
    <w:p>
      <w:pPr>
        <w:spacing w:before="120"/>
        <w:ind w:firstLine="480"/>
      </w:pPr>
      <w:r>
        <w:t>201</w:t>
      </w:r>
      <w:r>
        <w:rPr>
          <w:rFonts w:hint="eastAsia"/>
          <w:lang w:val="en-US" w:eastAsia="zh-CN"/>
        </w:rPr>
        <w:t>8</w:t>
      </w:r>
      <w:r>
        <w:t>年</w:t>
      </w:r>
      <w:r>
        <w:rPr>
          <w:rFonts w:hint="eastAsia"/>
          <w:lang w:val="en-US" w:eastAsia="zh-CN"/>
        </w:rPr>
        <w:t>12</w:t>
      </w:r>
      <w:r>
        <w:t>月，国网四川省电力公司甘孜供电公司委托四川联合建设工程设计有限公司编制本项目的水土保持方案报告书，四川联合建设工程设计有限公司于2019年</w:t>
      </w:r>
      <w:r>
        <w:rPr>
          <w:rFonts w:hint="eastAsia"/>
          <w:lang w:val="en-US" w:eastAsia="zh-CN"/>
        </w:rPr>
        <w:t>3</w:t>
      </w:r>
      <w:r>
        <w:t>月编制完成《</w:t>
      </w:r>
      <w:r>
        <w:rPr>
          <w:rFonts w:hint="eastAsia"/>
          <w:lang w:eastAsia="zh-CN"/>
        </w:rPr>
        <w:t>甘孜雅江柯拉35千伏输变电工程</w:t>
      </w:r>
      <w:r>
        <w:t>水土保持方案报告书</w:t>
      </w:r>
      <w:r>
        <w:rPr>
          <w:rFonts w:hint="eastAsia"/>
          <w:lang w:eastAsia="zh-CN"/>
        </w:rPr>
        <w:t>（</w:t>
      </w:r>
      <w:r>
        <w:rPr>
          <w:rFonts w:hint="eastAsia"/>
          <w:lang w:val="en-US" w:eastAsia="zh-CN"/>
        </w:rPr>
        <w:t>报批稿</w:t>
      </w:r>
      <w:r>
        <w:rPr>
          <w:rFonts w:hint="eastAsia"/>
          <w:lang w:eastAsia="zh-CN"/>
        </w:rPr>
        <w:t>）</w:t>
      </w:r>
      <w:r>
        <w:t>》。2019年</w:t>
      </w:r>
      <w:r>
        <w:rPr>
          <w:rFonts w:hint="eastAsia"/>
          <w:lang w:val="en-US" w:eastAsia="zh-CN"/>
        </w:rPr>
        <w:t>3</w:t>
      </w:r>
      <w:r>
        <w:t>月</w:t>
      </w:r>
      <w:r>
        <w:rPr>
          <w:rFonts w:hint="eastAsia"/>
          <w:lang w:val="en-US" w:eastAsia="zh-CN"/>
        </w:rPr>
        <w:t>28日</w:t>
      </w:r>
      <w:r>
        <w:t>，甘孜州水利局以《关于</w:t>
      </w:r>
      <w:r>
        <w:rPr>
          <w:rFonts w:hint="eastAsia"/>
        </w:rPr>
        <w:t>对&lt;</w:t>
      </w:r>
      <w:r>
        <w:rPr>
          <w:rFonts w:hint="eastAsia"/>
          <w:lang w:eastAsia="zh-CN"/>
        </w:rPr>
        <w:t>甘孜雅江柯拉35千伏输变电工程</w:t>
      </w:r>
      <w:r>
        <w:t>水土保持方案报告书</w:t>
      </w:r>
      <w:r>
        <w:rPr>
          <w:rFonts w:hint="eastAsia"/>
        </w:rPr>
        <w:t>&gt;</w:t>
      </w:r>
      <w:r>
        <w:t>的批复》（甘水审[2019]</w:t>
      </w:r>
      <w:r>
        <w:rPr>
          <w:rFonts w:hint="eastAsia"/>
          <w:lang w:val="en-US" w:eastAsia="zh-CN"/>
        </w:rPr>
        <w:t>34</w:t>
      </w:r>
      <w:r>
        <w:t>号）对该项目水土保持方案进行了批复。</w:t>
      </w:r>
    </w:p>
    <w:p>
      <w:pPr>
        <w:pStyle w:val="3"/>
        <w:spacing w:before="120" w:after="120"/>
        <w:ind w:left="0" w:firstLine="0"/>
        <w:rPr>
          <w:b/>
          <w:bCs/>
        </w:rPr>
      </w:pPr>
      <w:bookmarkStart w:id="31" w:name="_Toc9727"/>
      <w:bookmarkStart w:id="32" w:name="_Toc515873308"/>
      <w:r>
        <w:rPr>
          <w:b/>
          <w:bCs/>
        </w:rPr>
        <w:t>水土保持方案变更</w:t>
      </w:r>
      <w:bookmarkEnd w:id="31"/>
      <w:bookmarkEnd w:id="32"/>
    </w:p>
    <w:p>
      <w:pPr>
        <w:spacing w:before="120"/>
        <w:ind w:firstLine="480"/>
      </w:pPr>
      <w:r>
        <w:t>本项目水土保持方案为</w:t>
      </w:r>
      <w:r>
        <w:rPr>
          <w:rFonts w:hint="eastAsia"/>
        </w:rPr>
        <w:t>可研</w:t>
      </w:r>
      <w:r>
        <w:t>深度，在项目实际建设过程中基本与初步设计相同，经现场调查核实，本工程主体工程及水土保持措施与原方案设计相比较，主体设计及水土流失防治措施布局与水保方案基本一致，不存在重大变更。</w:t>
      </w:r>
    </w:p>
    <w:p>
      <w:pPr>
        <w:spacing w:before="120"/>
        <w:ind w:firstLine="480"/>
      </w:pPr>
    </w:p>
    <w:p>
      <w:pPr>
        <w:spacing w:before="120"/>
        <w:ind w:firstLine="480"/>
        <w:jc w:val="left"/>
        <w:sectPr>
          <w:headerReference r:id="rId27" w:type="default"/>
          <w:pgSz w:w="11906" w:h="16838"/>
          <w:pgMar w:top="1440" w:right="1800" w:bottom="1440" w:left="1800" w:header="708" w:footer="708" w:gutter="0"/>
          <w:pgNumType w:fmt="numberInDash"/>
          <w:cols w:space="708" w:num="1"/>
          <w:docGrid w:linePitch="381" w:charSpace="0"/>
        </w:sectPr>
      </w:pPr>
    </w:p>
    <w:p>
      <w:pPr>
        <w:pStyle w:val="2"/>
      </w:pPr>
      <w:bookmarkStart w:id="33" w:name="_Toc515873312"/>
      <w:bookmarkStart w:id="34" w:name="_Toc14477"/>
      <w:r>
        <w:t>水土保持方案实施情况</w:t>
      </w:r>
      <w:bookmarkEnd w:id="33"/>
      <w:bookmarkEnd w:id="34"/>
    </w:p>
    <w:p>
      <w:pPr>
        <w:pStyle w:val="3"/>
        <w:spacing w:before="120" w:after="120"/>
        <w:rPr>
          <w:b/>
          <w:bCs/>
        </w:rPr>
      </w:pPr>
      <w:bookmarkStart w:id="35" w:name="_Toc515873313"/>
      <w:bookmarkStart w:id="36" w:name="_Toc24227"/>
      <w:r>
        <w:rPr>
          <w:b/>
          <w:bCs/>
        </w:rPr>
        <w:t>水土流失防治责任范围</w:t>
      </w:r>
      <w:bookmarkEnd w:id="35"/>
      <w:bookmarkEnd w:id="36"/>
    </w:p>
    <w:p>
      <w:pPr>
        <w:pStyle w:val="4"/>
        <w:spacing w:before="120"/>
      </w:pPr>
      <w:bookmarkStart w:id="37" w:name="_Toc515873314"/>
      <w:bookmarkStart w:id="38" w:name="_Toc18858"/>
      <w:bookmarkStart w:id="39" w:name="_Toc484280777"/>
      <w:bookmarkStart w:id="40" w:name="_Toc496268036"/>
      <w:bookmarkStart w:id="41" w:name="_Toc4560"/>
      <w:bookmarkStart w:id="42" w:name="_Toc5306"/>
      <w:bookmarkStart w:id="43" w:name="_Toc489976992"/>
      <w:r>
        <w:t>方案确定的水土流失防治责任范围</w:t>
      </w:r>
      <w:bookmarkEnd w:id="37"/>
      <w:bookmarkEnd w:id="38"/>
      <w:bookmarkEnd w:id="39"/>
      <w:bookmarkEnd w:id="40"/>
      <w:bookmarkEnd w:id="41"/>
      <w:bookmarkEnd w:id="42"/>
      <w:bookmarkEnd w:id="43"/>
    </w:p>
    <w:p>
      <w:pPr>
        <w:spacing w:before="120"/>
        <w:ind w:firstLine="480"/>
      </w:pPr>
      <w:r>
        <w:t>按照《开发建设项目水土保持方案技术规范》(GB/T</w:t>
      </w:r>
      <w:r>
        <w:rPr>
          <w:vertAlign w:val="superscript"/>
        </w:rPr>
        <w:t xml:space="preserve"> </w:t>
      </w:r>
      <w:r>
        <w:t>50433-2008)的有关规定，水土流失防治的总体要求是：预防和防治责任范围的水土流失，并尽可能使现有水土流失得到有效控制；美化和绿化工程区环境，维持区域生态环境良性循环。通过分期分区实施各项水土保持措施，促进工程建设及运行安全。</w:t>
      </w:r>
    </w:p>
    <w:p>
      <w:pPr>
        <w:spacing w:before="120"/>
        <w:ind w:firstLine="480"/>
      </w:pPr>
      <w:r>
        <w:t>根据本工程的水土保持方案报告书以及甘孜州水利局的批复，本工程水土保持防治范围总面积为</w:t>
      </w:r>
      <w:r>
        <w:rPr>
          <w:rFonts w:hint="eastAsia"/>
          <w:lang w:eastAsia="zh-CN"/>
        </w:rPr>
        <w:t>1.85</w:t>
      </w:r>
      <w:r>
        <w:t>hm</w:t>
      </w:r>
      <w:r>
        <w:rPr>
          <w:vertAlign w:val="superscript"/>
        </w:rPr>
        <w:t>2</w:t>
      </w:r>
      <w:r>
        <w:t>，</w:t>
      </w:r>
      <w:r>
        <w:rPr>
          <w:rFonts w:hint="eastAsia"/>
        </w:rPr>
        <w:t>均为项目建设区，</w:t>
      </w:r>
      <w:r>
        <w:t>其中永久占地面积为</w:t>
      </w:r>
      <w:r>
        <w:rPr>
          <w:rFonts w:hint="eastAsia"/>
          <w:lang w:eastAsia="zh-CN"/>
        </w:rPr>
        <w:t>0.39</w:t>
      </w:r>
      <w:r>
        <w:t>hm</w:t>
      </w:r>
      <w:r>
        <w:rPr>
          <w:vertAlign w:val="superscript"/>
        </w:rPr>
        <w:t>2</w:t>
      </w:r>
      <w:r>
        <w:t>，临时占地面积为</w:t>
      </w:r>
      <w:r>
        <w:rPr>
          <w:rFonts w:hint="eastAsia"/>
          <w:lang w:eastAsia="zh-CN"/>
        </w:rPr>
        <w:t>1.46</w:t>
      </w:r>
      <w:r>
        <w:t>hm</w:t>
      </w:r>
      <w:r>
        <w:rPr>
          <w:vertAlign w:val="superscript"/>
        </w:rPr>
        <w:t>2</w:t>
      </w:r>
      <w:r>
        <w:t>。</w:t>
      </w:r>
    </w:p>
    <w:p>
      <w:pPr>
        <w:spacing w:before="120"/>
        <w:ind w:firstLine="480"/>
      </w:pPr>
      <w:r>
        <w:t>水保方案确定水土流失防治责任范围见表3.1-1。</w:t>
      </w:r>
    </w:p>
    <w:p>
      <w:pPr>
        <w:pStyle w:val="16"/>
        <w:rPr>
          <w:vertAlign w:val="superscript"/>
        </w:rPr>
      </w:pPr>
      <w:r>
        <w:t>水保方案确定水土流失防治责任范围</w:t>
      </w:r>
      <w:r>
        <w:rPr>
          <w:vertAlign w:val="superscript"/>
        </w:rPr>
        <w:t xml:space="preserve"> </w:t>
      </w:r>
    </w:p>
    <w:p>
      <w:pPr>
        <w:pStyle w:val="13"/>
      </w:pPr>
      <w:r>
        <w:t>表</w:t>
      </w:r>
      <w:r>
        <w:rPr>
          <w:vertAlign w:val="superscript"/>
        </w:rPr>
        <w:t xml:space="preserve"> </w:t>
      </w:r>
      <w:r>
        <w:fldChar w:fldCharType="begin"/>
      </w:r>
      <w:r>
        <w:instrText xml:space="preserve"> STYLEREF 2 \s </w:instrText>
      </w:r>
      <w:r>
        <w:fldChar w:fldCharType="separate"/>
      </w:r>
      <w:r>
        <w:t>3.1</w:t>
      </w:r>
      <w:r>
        <w:fldChar w:fldCharType="end"/>
      </w:r>
      <w:r>
        <w:noBreakHyphen/>
      </w:r>
      <w:r>
        <w:fldChar w:fldCharType="begin"/>
      </w:r>
      <w:r>
        <w:instrText xml:space="preserve"> SEQ 表 \* ARABIC \s 2 </w:instrText>
      </w:r>
      <w:r>
        <w:fldChar w:fldCharType="separate"/>
      </w:r>
      <w:r>
        <w:t>1</w:t>
      </w:r>
      <w:r>
        <w:fldChar w:fldCharType="end"/>
      </w:r>
    </w:p>
    <w:tbl>
      <w:tblPr>
        <w:tblStyle w:val="32"/>
        <w:tblW w:w="8167" w:type="dxa"/>
        <w:tblInd w:w="0" w:type="dxa"/>
        <w:tblLayout w:type="fixed"/>
        <w:tblCellMar>
          <w:top w:w="0" w:type="dxa"/>
          <w:left w:w="11" w:type="dxa"/>
          <w:bottom w:w="0" w:type="dxa"/>
          <w:right w:w="11" w:type="dxa"/>
        </w:tblCellMar>
      </w:tblPr>
      <w:tblGrid>
        <w:gridCol w:w="789"/>
        <w:gridCol w:w="1023"/>
        <w:gridCol w:w="3040"/>
        <w:gridCol w:w="872"/>
        <w:gridCol w:w="1385"/>
        <w:gridCol w:w="1058"/>
      </w:tblGrid>
      <w:tr>
        <w:tblPrEx>
          <w:tblCellMar>
            <w:top w:w="0" w:type="dxa"/>
            <w:left w:w="11" w:type="dxa"/>
            <w:bottom w:w="0" w:type="dxa"/>
            <w:right w:w="11" w:type="dxa"/>
          </w:tblCellMar>
        </w:tblPrEx>
        <w:trPr>
          <w:trHeight w:val="340" w:hRule="atLeast"/>
        </w:trPr>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序号</w:t>
            </w:r>
          </w:p>
        </w:tc>
        <w:tc>
          <w:tcPr>
            <w:tcW w:w="1023" w:type="dxa"/>
            <w:tcBorders>
              <w:top w:val="single" w:color="auto" w:sz="4" w:space="0"/>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一级分区</w:t>
            </w:r>
          </w:p>
        </w:tc>
        <w:tc>
          <w:tcPr>
            <w:tcW w:w="3040" w:type="dxa"/>
            <w:tcBorders>
              <w:top w:val="single" w:color="auto" w:sz="4" w:space="0"/>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二级分区</w:t>
            </w:r>
          </w:p>
        </w:tc>
        <w:tc>
          <w:tcPr>
            <w:tcW w:w="872" w:type="dxa"/>
            <w:tcBorders>
              <w:top w:val="single" w:color="auto" w:sz="4" w:space="0"/>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建设区</w:t>
            </w:r>
          </w:p>
        </w:tc>
        <w:tc>
          <w:tcPr>
            <w:tcW w:w="1385" w:type="dxa"/>
            <w:tcBorders>
              <w:top w:val="single" w:color="auto" w:sz="4" w:space="0"/>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直接影响区</w:t>
            </w:r>
          </w:p>
        </w:tc>
        <w:tc>
          <w:tcPr>
            <w:tcW w:w="1058" w:type="dxa"/>
            <w:tcBorders>
              <w:top w:val="single" w:color="auto" w:sz="4" w:space="0"/>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合计</w:t>
            </w:r>
          </w:p>
        </w:tc>
      </w:tr>
      <w:tr>
        <w:tblPrEx>
          <w:tblCellMar>
            <w:top w:w="0" w:type="dxa"/>
            <w:left w:w="11" w:type="dxa"/>
            <w:bottom w:w="0" w:type="dxa"/>
            <w:right w:w="11" w:type="dxa"/>
          </w:tblCellMar>
        </w:tblPrEx>
        <w:trPr>
          <w:trHeight w:val="340" w:hRule="atLeast"/>
        </w:trPr>
        <w:tc>
          <w:tcPr>
            <w:tcW w:w="789"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Ⅰ</w:t>
            </w:r>
          </w:p>
        </w:tc>
        <w:tc>
          <w:tcPr>
            <w:tcW w:w="1023" w:type="dxa"/>
            <w:vMerge w:val="restart"/>
            <w:tcBorders>
              <w:top w:val="nil"/>
              <w:left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变电站工程区</w:t>
            </w:r>
          </w:p>
        </w:tc>
        <w:tc>
          <w:tcPr>
            <w:tcW w:w="304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lang w:eastAsia="zh-CN"/>
              </w:rPr>
              <w:t>柯拉</w:t>
            </w:r>
            <w:r>
              <w:rPr>
                <w:rFonts w:hint="eastAsia"/>
                <w:color w:val="auto"/>
              </w:rPr>
              <w:t>35kV</w:t>
            </w:r>
            <w:r>
              <w:rPr>
                <w:rFonts w:hint="eastAsia"/>
                <w:color w:val="auto"/>
                <w:vertAlign w:val="superscript"/>
              </w:rPr>
              <w:t xml:space="preserve"> </w:t>
            </w:r>
            <w:r>
              <w:rPr>
                <w:rFonts w:hint="eastAsia"/>
                <w:color w:val="auto"/>
              </w:rPr>
              <w:t>变电站区</w:t>
            </w:r>
          </w:p>
        </w:tc>
        <w:tc>
          <w:tcPr>
            <w:tcW w:w="872"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color w:val="auto"/>
                <w:lang w:val="en-US" w:eastAsia="zh-CN"/>
              </w:rPr>
            </w:pPr>
            <w:r>
              <w:rPr>
                <w:rFonts w:hint="eastAsia"/>
                <w:color w:val="auto"/>
              </w:rPr>
              <w:t>0.1</w:t>
            </w:r>
            <w:r>
              <w:rPr>
                <w:rFonts w:hint="eastAsia"/>
                <w:color w:val="auto"/>
                <w:lang w:val="en-US" w:eastAsia="zh-CN"/>
              </w:rPr>
              <w:t>3</w:t>
            </w:r>
          </w:p>
        </w:tc>
        <w:tc>
          <w:tcPr>
            <w:tcW w:w="1385"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4"/>
              </w:rPr>
            </w:pPr>
            <w:r>
              <w:rPr>
                <w:color w:val="auto"/>
              </w:rPr>
              <w:t>　</w:t>
            </w:r>
          </w:p>
        </w:tc>
        <w:tc>
          <w:tcPr>
            <w:tcW w:w="1058"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b/>
                <w:bCs/>
                <w:color w:val="auto"/>
              </w:rPr>
            </w:pPr>
            <w:r>
              <w:rPr>
                <w:rFonts w:hint="eastAsia"/>
                <w:b/>
                <w:bCs/>
                <w:color w:val="auto"/>
              </w:rPr>
              <w:t>0.1</w:t>
            </w:r>
            <w:r>
              <w:rPr>
                <w:rFonts w:hint="eastAsia"/>
                <w:b/>
                <w:bCs/>
                <w:color w:val="auto"/>
                <w:lang w:val="en-US" w:eastAsia="zh-CN"/>
              </w:rPr>
              <w:t>3</w:t>
            </w:r>
          </w:p>
        </w:tc>
      </w:tr>
      <w:tr>
        <w:tblPrEx>
          <w:tblCellMar>
            <w:top w:w="0" w:type="dxa"/>
            <w:left w:w="11" w:type="dxa"/>
            <w:bottom w:w="0" w:type="dxa"/>
            <w:right w:w="11" w:type="dxa"/>
          </w:tblCellMar>
        </w:tblPrEx>
        <w:trPr>
          <w:trHeight w:val="340" w:hRule="atLeast"/>
        </w:trPr>
        <w:tc>
          <w:tcPr>
            <w:tcW w:w="789"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II</w:t>
            </w:r>
          </w:p>
        </w:tc>
        <w:tc>
          <w:tcPr>
            <w:tcW w:w="1023" w:type="dxa"/>
            <w:vMerge w:val="continue"/>
            <w:tcBorders>
              <w:left w:val="single" w:color="auto" w:sz="4" w:space="0"/>
              <w:right w:val="single" w:color="auto" w:sz="4" w:space="0"/>
            </w:tcBorders>
            <w:vAlign w:val="center"/>
          </w:tcPr>
          <w:p>
            <w:pPr>
              <w:pStyle w:val="52"/>
              <w:keepNext w:val="0"/>
              <w:keepLines w:val="0"/>
              <w:widowControl/>
              <w:suppressLineNumbers w:val="0"/>
              <w:spacing w:before="0" w:beforeAutospacing="0" w:after="0" w:afterAutospacing="0"/>
              <w:ind w:left="0" w:right="0"/>
              <w:rPr>
                <w:color w:val="auto"/>
              </w:rPr>
            </w:pPr>
          </w:p>
        </w:tc>
        <w:tc>
          <w:tcPr>
            <w:tcW w:w="304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施工场地区</w:t>
            </w:r>
          </w:p>
        </w:tc>
        <w:tc>
          <w:tcPr>
            <w:tcW w:w="872"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0.02</w:t>
            </w:r>
          </w:p>
        </w:tc>
        <w:tc>
          <w:tcPr>
            <w:tcW w:w="1385"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4"/>
              </w:rPr>
            </w:pPr>
            <w:r>
              <w:rPr>
                <w:color w:val="auto"/>
              </w:rPr>
              <w:t>　</w:t>
            </w:r>
          </w:p>
        </w:tc>
        <w:tc>
          <w:tcPr>
            <w:tcW w:w="1058"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b/>
                <w:bCs/>
                <w:color w:val="auto"/>
              </w:rPr>
            </w:pPr>
            <w:r>
              <w:rPr>
                <w:rFonts w:hint="eastAsia"/>
                <w:b/>
                <w:bCs/>
                <w:color w:val="auto"/>
              </w:rPr>
              <w:t>0.02</w:t>
            </w:r>
          </w:p>
        </w:tc>
      </w:tr>
      <w:tr>
        <w:tblPrEx>
          <w:tblCellMar>
            <w:top w:w="0" w:type="dxa"/>
            <w:left w:w="11" w:type="dxa"/>
            <w:bottom w:w="0" w:type="dxa"/>
            <w:right w:w="11" w:type="dxa"/>
          </w:tblCellMar>
        </w:tblPrEx>
        <w:trPr>
          <w:trHeight w:val="340" w:hRule="atLeast"/>
        </w:trPr>
        <w:tc>
          <w:tcPr>
            <w:tcW w:w="789"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Ⅲ</w:t>
            </w:r>
          </w:p>
        </w:tc>
        <w:tc>
          <w:tcPr>
            <w:tcW w:w="1023" w:type="dxa"/>
            <w:vMerge w:val="continue"/>
            <w:tcBorders>
              <w:left w:val="single" w:color="auto" w:sz="4" w:space="0"/>
              <w:bottom w:val="single" w:color="auto" w:sz="4" w:space="0"/>
              <w:right w:val="single" w:color="auto" w:sz="4" w:space="0"/>
            </w:tcBorders>
            <w:vAlign w:val="center"/>
          </w:tcPr>
          <w:p>
            <w:pPr>
              <w:pStyle w:val="52"/>
              <w:keepNext w:val="0"/>
              <w:keepLines w:val="0"/>
              <w:widowControl/>
              <w:suppressLineNumbers w:val="0"/>
              <w:spacing w:before="0" w:beforeAutospacing="0" w:after="0" w:afterAutospacing="0"/>
              <w:ind w:left="0" w:right="0"/>
              <w:rPr>
                <w:color w:val="auto"/>
              </w:rPr>
            </w:pPr>
          </w:p>
        </w:tc>
        <w:tc>
          <w:tcPr>
            <w:tcW w:w="304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lang w:val="en-US" w:eastAsia="zh-CN"/>
              </w:rPr>
              <w:t>弃土点</w:t>
            </w:r>
            <w:r>
              <w:rPr>
                <w:rFonts w:hint="eastAsia"/>
                <w:color w:val="auto"/>
              </w:rPr>
              <w:t>区</w:t>
            </w:r>
          </w:p>
        </w:tc>
        <w:tc>
          <w:tcPr>
            <w:tcW w:w="872"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color w:val="auto"/>
                <w:lang w:val="en-US" w:eastAsia="zh-CN"/>
              </w:rPr>
            </w:pPr>
            <w:r>
              <w:rPr>
                <w:rFonts w:hint="eastAsia"/>
                <w:color w:val="auto"/>
              </w:rPr>
              <w:t>0.0</w:t>
            </w:r>
            <w:r>
              <w:rPr>
                <w:rFonts w:hint="eastAsia"/>
                <w:color w:val="auto"/>
                <w:lang w:val="en-US" w:eastAsia="zh-CN"/>
              </w:rPr>
              <w:t>4</w:t>
            </w:r>
          </w:p>
        </w:tc>
        <w:tc>
          <w:tcPr>
            <w:tcW w:w="1385"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58"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b/>
                <w:bCs/>
                <w:color w:val="auto"/>
              </w:rPr>
            </w:pPr>
            <w:r>
              <w:rPr>
                <w:rFonts w:hint="eastAsia"/>
                <w:b/>
                <w:bCs/>
                <w:color w:val="auto"/>
              </w:rPr>
              <w:t>0.0</w:t>
            </w:r>
            <w:r>
              <w:rPr>
                <w:rFonts w:hint="eastAsia"/>
                <w:b/>
                <w:bCs/>
                <w:color w:val="auto"/>
                <w:lang w:val="en-US" w:eastAsia="zh-CN"/>
              </w:rPr>
              <w:t>4</w:t>
            </w:r>
          </w:p>
        </w:tc>
      </w:tr>
      <w:tr>
        <w:tblPrEx>
          <w:tblCellMar>
            <w:top w:w="0" w:type="dxa"/>
            <w:left w:w="11" w:type="dxa"/>
            <w:bottom w:w="0" w:type="dxa"/>
            <w:right w:w="11" w:type="dxa"/>
          </w:tblCellMar>
        </w:tblPrEx>
        <w:trPr>
          <w:trHeight w:val="340" w:hRule="atLeast"/>
        </w:trPr>
        <w:tc>
          <w:tcPr>
            <w:tcW w:w="789"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Ⅳ</w:t>
            </w:r>
          </w:p>
        </w:tc>
        <w:tc>
          <w:tcPr>
            <w:tcW w:w="1023" w:type="dxa"/>
            <w:vMerge w:val="restart"/>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线路工程区</w:t>
            </w:r>
          </w:p>
        </w:tc>
        <w:tc>
          <w:tcPr>
            <w:tcW w:w="304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电缆工程区</w:t>
            </w:r>
          </w:p>
        </w:tc>
        <w:tc>
          <w:tcPr>
            <w:tcW w:w="872"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color w:val="auto"/>
                <w:lang w:val="en-US" w:eastAsia="zh-CN"/>
              </w:rPr>
            </w:pPr>
            <w:r>
              <w:rPr>
                <w:rFonts w:hint="eastAsia"/>
                <w:color w:val="auto"/>
              </w:rPr>
              <w:t>0.0</w:t>
            </w:r>
            <w:r>
              <w:rPr>
                <w:rFonts w:hint="eastAsia"/>
                <w:color w:val="auto"/>
                <w:lang w:val="en-US" w:eastAsia="zh-CN"/>
              </w:rPr>
              <w:t>1</w:t>
            </w:r>
          </w:p>
        </w:tc>
        <w:tc>
          <w:tcPr>
            <w:tcW w:w="1385"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4"/>
              </w:rPr>
            </w:pPr>
            <w:r>
              <w:rPr>
                <w:color w:val="auto"/>
              </w:rPr>
              <w:t>　</w:t>
            </w:r>
          </w:p>
        </w:tc>
        <w:tc>
          <w:tcPr>
            <w:tcW w:w="1058"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b/>
                <w:bCs/>
                <w:color w:val="auto"/>
              </w:rPr>
            </w:pPr>
            <w:r>
              <w:rPr>
                <w:rFonts w:hint="eastAsia"/>
                <w:b/>
                <w:bCs/>
                <w:color w:val="auto"/>
              </w:rPr>
              <w:t>0.0</w:t>
            </w:r>
            <w:r>
              <w:rPr>
                <w:rFonts w:hint="eastAsia"/>
                <w:b/>
                <w:bCs/>
                <w:color w:val="auto"/>
                <w:lang w:val="en-US" w:eastAsia="zh-CN"/>
              </w:rPr>
              <w:t>1</w:t>
            </w:r>
          </w:p>
        </w:tc>
      </w:tr>
      <w:tr>
        <w:tblPrEx>
          <w:tblCellMar>
            <w:top w:w="0" w:type="dxa"/>
            <w:left w:w="11" w:type="dxa"/>
            <w:bottom w:w="0" w:type="dxa"/>
            <w:right w:w="11" w:type="dxa"/>
          </w:tblCellMar>
        </w:tblPrEx>
        <w:trPr>
          <w:trHeight w:val="340" w:hRule="atLeast"/>
        </w:trPr>
        <w:tc>
          <w:tcPr>
            <w:tcW w:w="789"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Ⅴ</w:t>
            </w:r>
          </w:p>
        </w:tc>
        <w:tc>
          <w:tcPr>
            <w:tcW w:w="1023" w:type="dxa"/>
            <w:vMerge w:val="continue"/>
            <w:tcBorders>
              <w:top w:val="nil"/>
              <w:left w:val="single" w:color="auto" w:sz="4" w:space="0"/>
              <w:bottom w:val="single" w:color="auto" w:sz="4" w:space="0"/>
              <w:right w:val="single" w:color="auto" w:sz="4" w:space="0"/>
            </w:tcBorders>
            <w:vAlign w:val="center"/>
          </w:tcPr>
          <w:p>
            <w:pPr>
              <w:pStyle w:val="52"/>
              <w:keepNext w:val="0"/>
              <w:keepLines w:val="0"/>
              <w:widowControl/>
              <w:suppressLineNumbers w:val="0"/>
              <w:spacing w:before="0" w:beforeAutospacing="0" w:after="0" w:afterAutospacing="0"/>
              <w:ind w:left="0" w:right="0"/>
              <w:rPr>
                <w:color w:val="auto"/>
              </w:rPr>
            </w:pPr>
          </w:p>
        </w:tc>
        <w:tc>
          <w:tcPr>
            <w:tcW w:w="304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塔基及塔基临时占地区</w:t>
            </w:r>
          </w:p>
        </w:tc>
        <w:tc>
          <w:tcPr>
            <w:tcW w:w="872"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0.84</w:t>
            </w:r>
          </w:p>
        </w:tc>
        <w:tc>
          <w:tcPr>
            <w:tcW w:w="1385"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4"/>
              </w:rPr>
            </w:pPr>
            <w:r>
              <w:rPr>
                <w:color w:val="auto"/>
              </w:rPr>
              <w:t>　</w:t>
            </w:r>
          </w:p>
        </w:tc>
        <w:tc>
          <w:tcPr>
            <w:tcW w:w="1058"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b/>
                <w:bCs/>
                <w:color w:val="auto"/>
              </w:rPr>
            </w:pPr>
            <w:r>
              <w:rPr>
                <w:rFonts w:hint="eastAsia"/>
                <w:b/>
                <w:bCs/>
                <w:color w:val="auto"/>
                <w:lang w:val="en-US" w:eastAsia="zh-CN"/>
              </w:rPr>
              <w:t>0.84</w:t>
            </w:r>
          </w:p>
        </w:tc>
      </w:tr>
      <w:tr>
        <w:tblPrEx>
          <w:tblCellMar>
            <w:top w:w="0" w:type="dxa"/>
            <w:left w:w="11" w:type="dxa"/>
            <w:bottom w:w="0" w:type="dxa"/>
            <w:right w:w="11" w:type="dxa"/>
          </w:tblCellMar>
        </w:tblPrEx>
        <w:trPr>
          <w:trHeight w:val="340" w:hRule="atLeast"/>
        </w:trPr>
        <w:tc>
          <w:tcPr>
            <w:tcW w:w="789"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Ⅵ</w:t>
            </w:r>
          </w:p>
        </w:tc>
        <w:tc>
          <w:tcPr>
            <w:tcW w:w="1023" w:type="dxa"/>
            <w:vMerge w:val="continue"/>
            <w:tcBorders>
              <w:top w:val="nil"/>
              <w:left w:val="single" w:color="auto" w:sz="4" w:space="0"/>
              <w:bottom w:val="single" w:color="auto" w:sz="4" w:space="0"/>
              <w:right w:val="single" w:color="auto" w:sz="4" w:space="0"/>
            </w:tcBorders>
            <w:vAlign w:val="center"/>
          </w:tcPr>
          <w:p>
            <w:pPr>
              <w:pStyle w:val="52"/>
              <w:keepNext w:val="0"/>
              <w:keepLines w:val="0"/>
              <w:widowControl/>
              <w:suppressLineNumbers w:val="0"/>
              <w:spacing w:before="0" w:beforeAutospacing="0" w:after="0" w:afterAutospacing="0"/>
              <w:ind w:left="0" w:right="0"/>
              <w:rPr>
                <w:color w:val="auto"/>
              </w:rPr>
            </w:pPr>
          </w:p>
        </w:tc>
        <w:tc>
          <w:tcPr>
            <w:tcW w:w="304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其他临时占地区</w:t>
            </w:r>
          </w:p>
        </w:tc>
        <w:tc>
          <w:tcPr>
            <w:tcW w:w="872"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rPr>
              <w:t>0.</w:t>
            </w:r>
            <w:r>
              <w:rPr>
                <w:rFonts w:hint="eastAsia"/>
                <w:color w:val="auto"/>
                <w:lang w:val="en-US" w:eastAsia="zh-CN"/>
              </w:rPr>
              <w:t>11</w:t>
            </w:r>
          </w:p>
        </w:tc>
        <w:tc>
          <w:tcPr>
            <w:tcW w:w="1385"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4"/>
              </w:rPr>
            </w:pPr>
            <w:r>
              <w:rPr>
                <w:color w:val="auto"/>
              </w:rPr>
              <w:t>　</w:t>
            </w:r>
          </w:p>
        </w:tc>
        <w:tc>
          <w:tcPr>
            <w:tcW w:w="1058"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b/>
                <w:bCs/>
                <w:color w:val="auto"/>
              </w:rPr>
            </w:pPr>
            <w:r>
              <w:rPr>
                <w:rFonts w:hint="eastAsia"/>
                <w:b/>
                <w:bCs/>
                <w:color w:val="auto"/>
              </w:rPr>
              <w:t>0.</w:t>
            </w:r>
            <w:r>
              <w:rPr>
                <w:rFonts w:hint="eastAsia"/>
                <w:b/>
                <w:bCs/>
                <w:color w:val="auto"/>
                <w:lang w:val="en-US" w:eastAsia="zh-CN"/>
              </w:rPr>
              <w:t>11</w:t>
            </w:r>
          </w:p>
        </w:tc>
      </w:tr>
      <w:tr>
        <w:tblPrEx>
          <w:tblCellMar>
            <w:top w:w="0" w:type="dxa"/>
            <w:left w:w="11" w:type="dxa"/>
            <w:bottom w:w="0" w:type="dxa"/>
            <w:right w:w="11" w:type="dxa"/>
          </w:tblCellMar>
        </w:tblPrEx>
        <w:trPr>
          <w:trHeight w:val="340" w:hRule="atLeast"/>
        </w:trPr>
        <w:tc>
          <w:tcPr>
            <w:tcW w:w="789"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Ⅶ</w:t>
            </w:r>
          </w:p>
        </w:tc>
        <w:tc>
          <w:tcPr>
            <w:tcW w:w="1023" w:type="dxa"/>
            <w:vMerge w:val="continue"/>
            <w:tcBorders>
              <w:top w:val="nil"/>
              <w:left w:val="single" w:color="auto" w:sz="4" w:space="0"/>
              <w:bottom w:val="single" w:color="auto" w:sz="4" w:space="0"/>
              <w:right w:val="single" w:color="auto" w:sz="4" w:space="0"/>
            </w:tcBorders>
            <w:vAlign w:val="center"/>
          </w:tcPr>
          <w:p>
            <w:pPr>
              <w:pStyle w:val="52"/>
              <w:keepNext w:val="0"/>
              <w:keepLines w:val="0"/>
              <w:widowControl/>
              <w:suppressLineNumbers w:val="0"/>
              <w:spacing w:before="0" w:beforeAutospacing="0" w:after="0" w:afterAutospacing="0"/>
              <w:ind w:left="0" w:right="0"/>
              <w:rPr>
                <w:color w:val="auto"/>
              </w:rPr>
            </w:pPr>
          </w:p>
        </w:tc>
        <w:tc>
          <w:tcPr>
            <w:tcW w:w="304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人抬道路区</w:t>
            </w:r>
          </w:p>
        </w:tc>
        <w:tc>
          <w:tcPr>
            <w:tcW w:w="872"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0.70</w:t>
            </w:r>
          </w:p>
        </w:tc>
        <w:tc>
          <w:tcPr>
            <w:tcW w:w="1385"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4"/>
              </w:rPr>
            </w:pPr>
            <w:r>
              <w:rPr>
                <w:color w:val="auto"/>
              </w:rPr>
              <w:t>　</w:t>
            </w:r>
          </w:p>
        </w:tc>
        <w:tc>
          <w:tcPr>
            <w:tcW w:w="1058"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b/>
                <w:bCs/>
                <w:color w:val="auto"/>
              </w:rPr>
            </w:pPr>
            <w:r>
              <w:rPr>
                <w:rFonts w:hint="eastAsia"/>
                <w:b/>
                <w:bCs/>
                <w:color w:val="auto"/>
                <w:lang w:val="en-US" w:eastAsia="zh-CN"/>
              </w:rPr>
              <w:t>0.70</w:t>
            </w:r>
          </w:p>
        </w:tc>
      </w:tr>
      <w:tr>
        <w:tblPrEx>
          <w:tblCellMar>
            <w:top w:w="0" w:type="dxa"/>
            <w:left w:w="11" w:type="dxa"/>
            <w:bottom w:w="0" w:type="dxa"/>
            <w:right w:w="11" w:type="dxa"/>
          </w:tblCellMar>
        </w:tblPrEx>
        <w:trPr>
          <w:trHeight w:val="340" w:hRule="atLeast"/>
        </w:trPr>
        <w:tc>
          <w:tcPr>
            <w:tcW w:w="789"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4"/>
              </w:rPr>
            </w:pPr>
            <w:r>
              <w:rPr>
                <w:color w:val="auto"/>
              </w:rPr>
              <w:t>　</w:t>
            </w:r>
          </w:p>
        </w:tc>
        <w:tc>
          <w:tcPr>
            <w:tcW w:w="1023"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4"/>
              </w:rPr>
            </w:pPr>
            <w:r>
              <w:rPr>
                <w:color w:val="auto"/>
              </w:rPr>
              <w:t>　</w:t>
            </w:r>
          </w:p>
        </w:tc>
        <w:tc>
          <w:tcPr>
            <w:tcW w:w="304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小计</w:t>
            </w:r>
          </w:p>
        </w:tc>
        <w:tc>
          <w:tcPr>
            <w:tcW w:w="872"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b/>
                <w:bCs/>
                <w:color w:val="auto"/>
                <w:lang w:eastAsia="zh-CN"/>
              </w:rPr>
            </w:pPr>
            <w:r>
              <w:rPr>
                <w:rFonts w:hint="eastAsia"/>
                <w:b/>
                <w:bCs/>
                <w:color w:val="auto"/>
                <w:lang w:eastAsia="zh-CN"/>
              </w:rPr>
              <w:t>1.85</w:t>
            </w:r>
          </w:p>
        </w:tc>
        <w:tc>
          <w:tcPr>
            <w:tcW w:w="1385"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4"/>
              </w:rPr>
            </w:pPr>
            <w:r>
              <w:rPr>
                <w:color w:val="auto"/>
              </w:rPr>
              <w:t>　</w:t>
            </w:r>
          </w:p>
        </w:tc>
        <w:tc>
          <w:tcPr>
            <w:tcW w:w="1058"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b/>
                <w:bCs/>
                <w:color w:val="auto"/>
                <w:lang w:eastAsia="zh-CN"/>
              </w:rPr>
            </w:pPr>
            <w:r>
              <w:rPr>
                <w:rFonts w:hint="eastAsia"/>
                <w:b/>
                <w:bCs/>
                <w:color w:val="auto"/>
                <w:lang w:eastAsia="zh-CN"/>
              </w:rPr>
              <w:t>1.85</w:t>
            </w:r>
          </w:p>
        </w:tc>
      </w:tr>
    </w:tbl>
    <w:p>
      <w:pPr>
        <w:pStyle w:val="4"/>
        <w:spacing w:before="120"/>
      </w:pPr>
      <w:bookmarkStart w:id="44" w:name="_Toc19578"/>
      <w:bookmarkStart w:id="45" w:name="_Toc489977008"/>
      <w:bookmarkStart w:id="46" w:name="_Toc496268050"/>
      <w:bookmarkStart w:id="47" w:name="_Toc13564"/>
      <w:bookmarkStart w:id="48" w:name="_Toc515294455"/>
      <w:bookmarkStart w:id="49" w:name="_Toc484280791"/>
      <w:bookmarkStart w:id="50" w:name="_Toc4162"/>
      <w:bookmarkStart w:id="51" w:name="_Toc496268052"/>
      <w:r>
        <w:t>水土流失防治责任范围评估</w:t>
      </w:r>
      <w:bookmarkEnd w:id="44"/>
      <w:bookmarkEnd w:id="45"/>
      <w:bookmarkEnd w:id="46"/>
      <w:bookmarkEnd w:id="47"/>
      <w:bookmarkEnd w:id="48"/>
      <w:bookmarkEnd w:id="49"/>
      <w:bookmarkEnd w:id="50"/>
    </w:p>
    <w:p>
      <w:pPr>
        <w:spacing w:before="120"/>
        <w:ind w:firstLine="480"/>
      </w:pPr>
      <w:r>
        <w:t>本次验收是以《</w:t>
      </w:r>
      <w:r>
        <w:rPr>
          <w:rFonts w:hint="eastAsia"/>
          <w:lang w:eastAsia="zh-CN"/>
        </w:rPr>
        <w:t>甘孜雅江柯拉35千伏输变电工程</w:t>
      </w:r>
      <w:r>
        <w:t>水土保持方案报告书》和甘孜州水利局《关于</w:t>
      </w:r>
      <w:r>
        <w:rPr>
          <w:rFonts w:hint="eastAsia"/>
          <w:lang w:eastAsia="zh-CN"/>
        </w:rPr>
        <w:t>甘孜雅江柯拉35千伏输变电工程</w:t>
      </w:r>
      <w:r>
        <w:t>水土保持方案报告书的批复》（甘水审[2019]</w:t>
      </w:r>
      <w:r>
        <w:rPr>
          <w:rFonts w:hint="eastAsia"/>
          <w:lang w:val="en-US" w:eastAsia="zh-CN"/>
        </w:rPr>
        <w:t>34</w:t>
      </w:r>
      <w:r>
        <w:t>号）为依据，本项目</w:t>
      </w:r>
      <w:r>
        <w:rPr>
          <w:lang w:val="zh-CN"/>
        </w:rPr>
        <w:t>的防治责任范围分为</w:t>
      </w:r>
      <w:r>
        <w:t>变电站工程区和线路工程区二个一级分区，再根据各分区的施工特点在细分为</w:t>
      </w:r>
      <w:r>
        <w:rPr>
          <w:rFonts w:hint="eastAsia"/>
          <w:lang w:eastAsia="zh-CN"/>
        </w:rPr>
        <w:t>柯拉</w:t>
      </w:r>
      <w:r>
        <w:t>35kV</w:t>
      </w:r>
      <w:r>
        <w:rPr>
          <w:vertAlign w:val="superscript"/>
        </w:rPr>
        <w:t xml:space="preserve"> </w:t>
      </w:r>
      <w:r>
        <w:t>变电站区、施工场地区</w:t>
      </w:r>
      <w:r>
        <w:rPr>
          <w:rFonts w:hint="eastAsia"/>
          <w:lang w:val="en-US" w:eastAsia="zh-CN"/>
        </w:rPr>
        <w:t>、</w:t>
      </w:r>
      <w:r>
        <w:t>电缆工程区、塔基及塔基临时占地区、其他临时占地区和人抬道路区等</w:t>
      </w:r>
      <w:r>
        <w:rPr>
          <w:rFonts w:hint="eastAsia"/>
          <w:lang w:val="en-US" w:eastAsia="zh-CN"/>
        </w:rPr>
        <w:t>6</w:t>
      </w:r>
      <w:r>
        <w:t>个二级防治分区。通过现场调查、量测，对照方案确定的水土流失防治责任范围，对每个防治分区的面积进行核实，最后核定出该项目的水土流失防治责任范围。</w:t>
      </w:r>
    </w:p>
    <w:p>
      <w:pPr>
        <w:pStyle w:val="4"/>
        <w:spacing w:before="120"/>
      </w:pPr>
      <w:bookmarkStart w:id="52" w:name="_Toc515294456"/>
      <w:r>
        <w:t>工程建设期实际水土流失防治责任范围</w:t>
      </w:r>
      <w:bookmarkEnd w:id="51"/>
      <w:bookmarkEnd w:id="52"/>
    </w:p>
    <w:p>
      <w:pPr>
        <w:spacing w:before="120"/>
        <w:ind w:firstLine="480"/>
      </w:pPr>
      <w:r>
        <w:t>实际建设过程中，严格按照主体设计和水土保持方案确定的范围和建设内容进行建设。本工程建设期实际水土流失防治责任范围面积为</w:t>
      </w:r>
      <w:r>
        <w:rPr>
          <w:rFonts w:hint="eastAsia"/>
          <w:lang w:eastAsia="zh-CN"/>
        </w:rPr>
        <w:t>1.81</w:t>
      </w:r>
      <w:r>
        <w:t>hm</w:t>
      </w:r>
      <w:r>
        <w:rPr>
          <w:vertAlign w:val="superscript"/>
        </w:rPr>
        <w:t>2</w:t>
      </w:r>
      <w:r>
        <w:t>，项目建设区</w:t>
      </w:r>
      <w:r>
        <w:rPr>
          <w:rFonts w:hint="eastAsia"/>
          <w:lang w:eastAsia="zh-CN"/>
        </w:rPr>
        <w:t>1.81</w:t>
      </w:r>
      <w:r>
        <w:t>hm</w:t>
      </w:r>
      <w:r>
        <w:rPr>
          <w:vertAlign w:val="superscript"/>
        </w:rPr>
        <w:t>2</w:t>
      </w:r>
      <w:r>
        <w:t>，直接影响区0hm</w:t>
      </w:r>
      <w:r>
        <w:rPr>
          <w:vertAlign w:val="superscript"/>
        </w:rPr>
        <w:t>2</w:t>
      </w:r>
      <w:r>
        <w:t>；工程实际水土流失防治责任范围见表3.1-2。水土流失防治责任范围面积对比表详见表3.1-3。</w:t>
      </w:r>
    </w:p>
    <w:p>
      <w:pPr>
        <w:pStyle w:val="16"/>
        <w:rPr>
          <w:vertAlign w:val="superscript"/>
        </w:rPr>
      </w:pPr>
      <w:r>
        <w:rPr>
          <w:rFonts w:hint="eastAsia"/>
        </w:rPr>
        <w:t xml:space="preserve"> </w:t>
      </w:r>
      <w:r>
        <w:t>工程实际水土流失防治责任范围</w:t>
      </w:r>
      <w:r>
        <w:rPr>
          <w:vertAlign w:val="superscript"/>
        </w:rPr>
        <w:t xml:space="preserve">  </w:t>
      </w:r>
      <w:r>
        <w:t>单位：hm</w:t>
      </w:r>
      <w:r>
        <w:rPr>
          <w:vertAlign w:val="superscript"/>
        </w:rPr>
        <w:t>2</w:t>
      </w:r>
    </w:p>
    <w:p>
      <w:pPr>
        <w:pStyle w:val="13"/>
      </w:pPr>
      <w:r>
        <w:t>表</w:t>
      </w:r>
      <w:r>
        <w:rPr>
          <w:vertAlign w:val="superscript"/>
        </w:rPr>
        <w:t xml:space="preserve"> </w:t>
      </w:r>
      <w:r>
        <w:fldChar w:fldCharType="begin"/>
      </w:r>
      <w:r>
        <w:instrText xml:space="preserve"> STYLEREF 2 \s </w:instrText>
      </w:r>
      <w:r>
        <w:fldChar w:fldCharType="separate"/>
      </w:r>
      <w:r>
        <w:t>3.1</w:t>
      </w:r>
      <w:r>
        <w:fldChar w:fldCharType="end"/>
      </w:r>
      <w:r>
        <w:noBreakHyphen/>
      </w:r>
      <w:r>
        <w:fldChar w:fldCharType="begin"/>
      </w:r>
      <w:r>
        <w:instrText xml:space="preserve"> SEQ 表 \* ARABIC \s 2 </w:instrText>
      </w:r>
      <w:r>
        <w:fldChar w:fldCharType="separate"/>
      </w:r>
      <w:r>
        <w:t>2</w:t>
      </w:r>
      <w:r>
        <w:fldChar w:fldCharType="end"/>
      </w:r>
    </w:p>
    <w:tbl>
      <w:tblPr>
        <w:tblStyle w:val="32"/>
        <w:tblW w:w="8167" w:type="dxa"/>
        <w:tblInd w:w="0" w:type="dxa"/>
        <w:tblLayout w:type="fixed"/>
        <w:tblCellMar>
          <w:top w:w="0" w:type="dxa"/>
          <w:left w:w="11" w:type="dxa"/>
          <w:bottom w:w="0" w:type="dxa"/>
          <w:right w:w="11" w:type="dxa"/>
        </w:tblCellMar>
      </w:tblPr>
      <w:tblGrid>
        <w:gridCol w:w="789"/>
        <w:gridCol w:w="1023"/>
        <w:gridCol w:w="3040"/>
        <w:gridCol w:w="872"/>
        <w:gridCol w:w="1385"/>
        <w:gridCol w:w="1058"/>
      </w:tblGrid>
      <w:tr>
        <w:tblPrEx>
          <w:tblCellMar>
            <w:top w:w="0" w:type="dxa"/>
            <w:left w:w="11" w:type="dxa"/>
            <w:bottom w:w="0" w:type="dxa"/>
            <w:right w:w="11" w:type="dxa"/>
          </w:tblCellMar>
        </w:tblPrEx>
        <w:trPr>
          <w:trHeight w:val="340" w:hRule="atLeast"/>
        </w:trPr>
        <w:tc>
          <w:tcPr>
            <w:tcW w:w="78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序号</w:t>
            </w:r>
          </w:p>
        </w:tc>
        <w:tc>
          <w:tcPr>
            <w:tcW w:w="1023" w:type="dxa"/>
            <w:tcBorders>
              <w:top w:val="single" w:color="auto" w:sz="4" w:space="0"/>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一级分区</w:t>
            </w:r>
          </w:p>
        </w:tc>
        <w:tc>
          <w:tcPr>
            <w:tcW w:w="3040" w:type="dxa"/>
            <w:tcBorders>
              <w:top w:val="single" w:color="auto" w:sz="4" w:space="0"/>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二级分区</w:t>
            </w:r>
          </w:p>
        </w:tc>
        <w:tc>
          <w:tcPr>
            <w:tcW w:w="872" w:type="dxa"/>
            <w:tcBorders>
              <w:top w:val="single" w:color="auto" w:sz="4" w:space="0"/>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建设区</w:t>
            </w:r>
          </w:p>
        </w:tc>
        <w:tc>
          <w:tcPr>
            <w:tcW w:w="1385" w:type="dxa"/>
            <w:tcBorders>
              <w:top w:val="single" w:color="auto" w:sz="4" w:space="0"/>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直接影响区</w:t>
            </w:r>
          </w:p>
        </w:tc>
        <w:tc>
          <w:tcPr>
            <w:tcW w:w="1058" w:type="dxa"/>
            <w:tcBorders>
              <w:top w:val="single" w:color="auto" w:sz="4" w:space="0"/>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合计</w:t>
            </w:r>
          </w:p>
        </w:tc>
      </w:tr>
      <w:tr>
        <w:tblPrEx>
          <w:tblCellMar>
            <w:top w:w="0" w:type="dxa"/>
            <w:left w:w="11" w:type="dxa"/>
            <w:bottom w:w="0" w:type="dxa"/>
            <w:right w:w="11" w:type="dxa"/>
          </w:tblCellMar>
        </w:tblPrEx>
        <w:trPr>
          <w:trHeight w:val="340" w:hRule="atLeast"/>
        </w:trPr>
        <w:tc>
          <w:tcPr>
            <w:tcW w:w="789"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Ⅰ</w:t>
            </w:r>
          </w:p>
        </w:tc>
        <w:tc>
          <w:tcPr>
            <w:tcW w:w="1023" w:type="dxa"/>
            <w:vMerge w:val="restart"/>
            <w:tcBorders>
              <w:top w:val="nil"/>
              <w:left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变电站工程区</w:t>
            </w:r>
          </w:p>
        </w:tc>
        <w:tc>
          <w:tcPr>
            <w:tcW w:w="304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lang w:eastAsia="zh-CN"/>
              </w:rPr>
              <w:t>柯拉</w:t>
            </w:r>
            <w:r>
              <w:rPr>
                <w:rFonts w:hint="eastAsia"/>
                <w:color w:val="auto"/>
              </w:rPr>
              <w:t>35kV</w:t>
            </w:r>
            <w:r>
              <w:rPr>
                <w:rFonts w:hint="eastAsia"/>
                <w:color w:val="auto"/>
                <w:vertAlign w:val="superscript"/>
              </w:rPr>
              <w:t xml:space="preserve"> </w:t>
            </w:r>
            <w:r>
              <w:rPr>
                <w:rFonts w:hint="eastAsia"/>
                <w:color w:val="auto"/>
              </w:rPr>
              <w:t>变电站区</w:t>
            </w:r>
          </w:p>
        </w:tc>
        <w:tc>
          <w:tcPr>
            <w:tcW w:w="872"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eastAsia" w:eastAsia="仿宋_GB2312"/>
                <w:color w:val="auto"/>
                <w:lang w:val="en-US" w:eastAsia="zh-CN"/>
              </w:rPr>
            </w:pPr>
            <w:r>
              <w:rPr>
                <w:rFonts w:hint="eastAsia"/>
                <w:color w:val="auto"/>
              </w:rPr>
              <w:t>0.1</w:t>
            </w:r>
            <w:r>
              <w:rPr>
                <w:rFonts w:hint="eastAsia"/>
                <w:color w:val="auto"/>
                <w:lang w:val="en-US" w:eastAsia="zh-CN"/>
              </w:rPr>
              <w:t>3</w:t>
            </w:r>
          </w:p>
        </w:tc>
        <w:tc>
          <w:tcPr>
            <w:tcW w:w="1385"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4"/>
              </w:rPr>
            </w:pPr>
            <w:r>
              <w:rPr>
                <w:color w:val="auto"/>
              </w:rPr>
              <w:t>　</w:t>
            </w:r>
          </w:p>
        </w:tc>
        <w:tc>
          <w:tcPr>
            <w:tcW w:w="1058"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b/>
                <w:bCs/>
                <w:color w:val="auto"/>
              </w:rPr>
            </w:pPr>
            <w:r>
              <w:rPr>
                <w:rFonts w:hint="eastAsia"/>
                <w:b/>
                <w:bCs/>
                <w:color w:val="auto"/>
              </w:rPr>
              <w:t>0.1</w:t>
            </w:r>
            <w:r>
              <w:rPr>
                <w:rFonts w:hint="eastAsia"/>
                <w:b/>
                <w:bCs/>
                <w:color w:val="auto"/>
                <w:lang w:val="en-US" w:eastAsia="zh-CN"/>
              </w:rPr>
              <w:t>3</w:t>
            </w:r>
          </w:p>
        </w:tc>
      </w:tr>
      <w:tr>
        <w:tblPrEx>
          <w:tblCellMar>
            <w:top w:w="0" w:type="dxa"/>
            <w:left w:w="11" w:type="dxa"/>
            <w:bottom w:w="0" w:type="dxa"/>
            <w:right w:w="11" w:type="dxa"/>
          </w:tblCellMar>
        </w:tblPrEx>
        <w:trPr>
          <w:trHeight w:val="340" w:hRule="atLeast"/>
        </w:trPr>
        <w:tc>
          <w:tcPr>
            <w:tcW w:w="789"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II</w:t>
            </w:r>
          </w:p>
        </w:tc>
        <w:tc>
          <w:tcPr>
            <w:tcW w:w="1023" w:type="dxa"/>
            <w:vMerge w:val="continue"/>
            <w:tcBorders>
              <w:left w:val="single" w:color="auto" w:sz="4" w:space="0"/>
              <w:bottom w:val="single" w:color="auto" w:sz="4" w:space="0"/>
              <w:right w:val="single" w:color="auto" w:sz="4" w:space="0"/>
            </w:tcBorders>
            <w:vAlign w:val="center"/>
          </w:tcPr>
          <w:p>
            <w:pPr>
              <w:pStyle w:val="52"/>
              <w:keepNext w:val="0"/>
              <w:keepLines w:val="0"/>
              <w:widowControl/>
              <w:suppressLineNumbers w:val="0"/>
              <w:spacing w:before="0" w:beforeAutospacing="0" w:after="0" w:afterAutospacing="0"/>
              <w:ind w:left="0" w:right="0"/>
              <w:rPr>
                <w:color w:val="auto"/>
              </w:rPr>
            </w:pPr>
          </w:p>
        </w:tc>
        <w:tc>
          <w:tcPr>
            <w:tcW w:w="304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施工场地区</w:t>
            </w:r>
          </w:p>
        </w:tc>
        <w:tc>
          <w:tcPr>
            <w:tcW w:w="872"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color w:val="auto"/>
              </w:rPr>
            </w:pPr>
            <w:r>
              <w:rPr>
                <w:rFonts w:hint="eastAsia"/>
                <w:color w:val="auto"/>
              </w:rPr>
              <w:t>0.02</w:t>
            </w:r>
          </w:p>
        </w:tc>
        <w:tc>
          <w:tcPr>
            <w:tcW w:w="1385"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4"/>
              </w:rPr>
            </w:pPr>
            <w:r>
              <w:rPr>
                <w:color w:val="auto"/>
              </w:rPr>
              <w:t>　</w:t>
            </w:r>
          </w:p>
        </w:tc>
        <w:tc>
          <w:tcPr>
            <w:tcW w:w="1058"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b/>
                <w:bCs/>
                <w:color w:val="auto"/>
              </w:rPr>
            </w:pPr>
            <w:r>
              <w:rPr>
                <w:rFonts w:hint="eastAsia"/>
                <w:b/>
                <w:bCs/>
                <w:color w:val="auto"/>
              </w:rPr>
              <w:t>0.02</w:t>
            </w:r>
          </w:p>
        </w:tc>
      </w:tr>
      <w:tr>
        <w:tblPrEx>
          <w:tblCellMar>
            <w:top w:w="0" w:type="dxa"/>
            <w:left w:w="11" w:type="dxa"/>
            <w:bottom w:w="0" w:type="dxa"/>
            <w:right w:w="11" w:type="dxa"/>
          </w:tblCellMar>
        </w:tblPrEx>
        <w:trPr>
          <w:trHeight w:val="340" w:hRule="atLeast"/>
        </w:trPr>
        <w:tc>
          <w:tcPr>
            <w:tcW w:w="789"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Ⅳ</w:t>
            </w:r>
          </w:p>
        </w:tc>
        <w:tc>
          <w:tcPr>
            <w:tcW w:w="10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线路工程区</w:t>
            </w:r>
          </w:p>
        </w:tc>
        <w:tc>
          <w:tcPr>
            <w:tcW w:w="304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电缆工程区</w:t>
            </w:r>
          </w:p>
        </w:tc>
        <w:tc>
          <w:tcPr>
            <w:tcW w:w="872"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eastAsia" w:eastAsia="仿宋_GB2312"/>
                <w:color w:val="auto"/>
                <w:lang w:val="en-US" w:eastAsia="zh-CN"/>
              </w:rPr>
            </w:pPr>
            <w:r>
              <w:rPr>
                <w:rFonts w:hint="eastAsia"/>
                <w:color w:val="auto"/>
              </w:rPr>
              <w:t>0.0</w:t>
            </w:r>
            <w:r>
              <w:rPr>
                <w:rFonts w:hint="eastAsia"/>
                <w:color w:val="auto"/>
                <w:lang w:val="en-US" w:eastAsia="zh-CN"/>
              </w:rPr>
              <w:t>1</w:t>
            </w:r>
          </w:p>
        </w:tc>
        <w:tc>
          <w:tcPr>
            <w:tcW w:w="1385"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4"/>
              </w:rPr>
            </w:pPr>
            <w:r>
              <w:rPr>
                <w:color w:val="auto"/>
              </w:rPr>
              <w:t>　</w:t>
            </w:r>
          </w:p>
        </w:tc>
        <w:tc>
          <w:tcPr>
            <w:tcW w:w="1058"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b/>
                <w:bCs/>
                <w:color w:val="auto"/>
              </w:rPr>
            </w:pPr>
            <w:r>
              <w:rPr>
                <w:rFonts w:hint="eastAsia"/>
                <w:b/>
                <w:bCs/>
                <w:color w:val="auto"/>
              </w:rPr>
              <w:t>0.0</w:t>
            </w:r>
            <w:r>
              <w:rPr>
                <w:rFonts w:hint="eastAsia"/>
                <w:b/>
                <w:bCs/>
                <w:color w:val="auto"/>
                <w:lang w:val="en-US" w:eastAsia="zh-CN"/>
              </w:rPr>
              <w:t>1</w:t>
            </w:r>
          </w:p>
        </w:tc>
      </w:tr>
      <w:tr>
        <w:tblPrEx>
          <w:tblCellMar>
            <w:top w:w="0" w:type="dxa"/>
            <w:left w:w="11" w:type="dxa"/>
            <w:bottom w:w="0" w:type="dxa"/>
            <w:right w:w="11" w:type="dxa"/>
          </w:tblCellMar>
        </w:tblPrEx>
        <w:trPr>
          <w:trHeight w:val="340" w:hRule="atLeast"/>
        </w:trPr>
        <w:tc>
          <w:tcPr>
            <w:tcW w:w="789"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Ⅴ</w:t>
            </w:r>
          </w:p>
        </w:tc>
        <w:tc>
          <w:tcPr>
            <w:tcW w:w="1023" w:type="dxa"/>
            <w:vMerge w:val="continue"/>
            <w:tcBorders>
              <w:top w:val="nil"/>
              <w:left w:val="single" w:color="auto" w:sz="4" w:space="0"/>
              <w:bottom w:val="single" w:color="auto" w:sz="4" w:space="0"/>
              <w:right w:val="single" w:color="auto" w:sz="4" w:space="0"/>
            </w:tcBorders>
            <w:vAlign w:val="center"/>
          </w:tcPr>
          <w:p>
            <w:pPr>
              <w:pStyle w:val="52"/>
              <w:keepNext w:val="0"/>
              <w:keepLines w:val="0"/>
              <w:widowControl/>
              <w:suppressLineNumbers w:val="0"/>
              <w:spacing w:before="0" w:beforeAutospacing="0" w:after="0" w:afterAutospacing="0"/>
              <w:ind w:left="0" w:right="0"/>
              <w:rPr>
                <w:color w:val="auto"/>
              </w:rPr>
            </w:pPr>
          </w:p>
        </w:tc>
        <w:tc>
          <w:tcPr>
            <w:tcW w:w="304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塔基及塔基临时占地区</w:t>
            </w:r>
          </w:p>
        </w:tc>
        <w:tc>
          <w:tcPr>
            <w:tcW w:w="872"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default" w:eastAsia="仿宋_GB2312"/>
                <w:color w:val="auto"/>
                <w:lang w:val="en-US" w:eastAsia="zh-CN"/>
              </w:rPr>
            </w:pPr>
            <w:r>
              <w:rPr>
                <w:rFonts w:hint="eastAsia"/>
                <w:color w:val="auto"/>
                <w:lang w:val="en-US" w:eastAsia="zh-CN"/>
              </w:rPr>
              <w:t>0.84</w:t>
            </w:r>
          </w:p>
        </w:tc>
        <w:tc>
          <w:tcPr>
            <w:tcW w:w="1385"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4"/>
              </w:rPr>
            </w:pPr>
            <w:r>
              <w:rPr>
                <w:color w:val="auto"/>
              </w:rPr>
              <w:t>　</w:t>
            </w:r>
          </w:p>
        </w:tc>
        <w:tc>
          <w:tcPr>
            <w:tcW w:w="1058"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b/>
                <w:bCs/>
                <w:color w:val="auto"/>
              </w:rPr>
            </w:pPr>
            <w:r>
              <w:rPr>
                <w:rFonts w:hint="eastAsia"/>
                <w:b/>
                <w:bCs/>
                <w:color w:val="auto"/>
                <w:lang w:val="en-US" w:eastAsia="zh-CN"/>
              </w:rPr>
              <w:t>0.84</w:t>
            </w:r>
          </w:p>
        </w:tc>
      </w:tr>
      <w:tr>
        <w:tblPrEx>
          <w:tblCellMar>
            <w:top w:w="0" w:type="dxa"/>
            <w:left w:w="11" w:type="dxa"/>
            <w:bottom w:w="0" w:type="dxa"/>
            <w:right w:w="11" w:type="dxa"/>
          </w:tblCellMar>
        </w:tblPrEx>
        <w:trPr>
          <w:trHeight w:val="340" w:hRule="atLeast"/>
        </w:trPr>
        <w:tc>
          <w:tcPr>
            <w:tcW w:w="789"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Ⅵ</w:t>
            </w:r>
          </w:p>
        </w:tc>
        <w:tc>
          <w:tcPr>
            <w:tcW w:w="1023" w:type="dxa"/>
            <w:vMerge w:val="continue"/>
            <w:tcBorders>
              <w:top w:val="nil"/>
              <w:left w:val="single" w:color="auto" w:sz="4" w:space="0"/>
              <w:bottom w:val="single" w:color="auto" w:sz="4" w:space="0"/>
              <w:right w:val="single" w:color="auto" w:sz="4" w:space="0"/>
            </w:tcBorders>
            <w:vAlign w:val="center"/>
          </w:tcPr>
          <w:p>
            <w:pPr>
              <w:pStyle w:val="52"/>
              <w:keepNext w:val="0"/>
              <w:keepLines w:val="0"/>
              <w:widowControl/>
              <w:suppressLineNumbers w:val="0"/>
              <w:spacing w:before="0" w:beforeAutospacing="0" w:after="0" w:afterAutospacing="0"/>
              <w:ind w:left="0" w:right="0"/>
              <w:rPr>
                <w:color w:val="auto"/>
              </w:rPr>
            </w:pPr>
          </w:p>
        </w:tc>
        <w:tc>
          <w:tcPr>
            <w:tcW w:w="304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其他临时占地区</w:t>
            </w:r>
          </w:p>
        </w:tc>
        <w:tc>
          <w:tcPr>
            <w:tcW w:w="872"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default" w:eastAsia="仿宋_GB2312"/>
                <w:color w:val="auto"/>
                <w:lang w:val="en-US" w:eastAsia="zh-CN"/>
              </w:rPr>
            </w:pPr>
            <w:r>
              <w:rPr>
                <w:rFonts w:hint="eastAsia"/>
                <w:color w:val="auto"/>
              </w:rPr>
              <w:t>0.</w:t>
            </w:r>
            <w:r>
              <w:rPr>
                <w:rFonts w:hint="eastAsia"/>
                <w:color w:val="auto"/>
                <w:lang w:val="en-US" w:eastAsia="zh-CN"/>
              </w:rPr>
              <w:t>11</w:t>
            </w:r>
          </w:p>
        </w:tc>
        <w:tc>
          <w:tcPr>
            <w:tcW w:w="1385"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4"/>
              </w:rPr>
            </w:pPr>
            <w:r>
              <w:rPr>
                <w:color w:val="auto"/>
              </w:rPr>
              <w:t>　</w:t>
            </w:r>
          </w:p>
        </w:tc>
        <w:tc>
          <w:tcPr>
            <w:tcW w:w="1058"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b/>
                <w:bCs/>
                <w:color w:val="auto"/>
              </w:rPr>
            </w:pPr>
            <w:r>
              <w:rPr>
                <w:rFonts w:hint="eastAsia"/>
                <w:b/>
                <w:bCs/>
                <w:color w:val="auto"/>
              </w:rPr>
              <w:t>0.</w:t>
            </w:r>
            <w:r>
              <w:rPr>
                <w:rFonts w:hint="eastAsia"/>
                <w:b/>
                <w:bCs/>
                <w:color w:val="auto"/>
                <w:lang w:val="en-US" w:eastAsia="zh-CN"/>
              </w:rPr>
              <w:t>11</w:t>
            </w:r>
          </w:p>
        </w:tc>
      </w:tr>
      <w:tr>
        <w:tblPrEx>
          <w:tblCellMar>
            <w:top w:w="0" w:type="dxa"/>
            <w:left w:w="11" w:type="dxa"/>
            <w:bottom w:w="0" w:type="dxa"/>
            <w:right w:w="11" w:type="dxa"/>
          </w:tblCellMar>
        </w:tblPrEx>
        <w:trPr>
          <w:trHeight w:val="340" w:hRule="atLeast"/>
        </w:trPr>
        <w:tc>
          <w:tcPr>
            <w:tcW w:w="789"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Ⅶ</w:t>
            </w:r>
          </w:p>
        </w:tc>
        <w:tc>
          <w:tcPr>
            <w:tcW w:w="1023" w:type="dxa"/>
            <w:vMerge w:val="continue"/>
            <w:tcBorders>
              <w:top w:val="nil"/>
              <w:left w:val="single" w:color="auto" w:sz="4" w:space="0"/>
              <w:bottom w:val="single" w:color="auto" w:sz="4" w:space="0"/>
              <w:right w:val="single" w:color="auto" w:sz="4" w:space="0"/>
            </w:tcBorders>
            <w:vAlign w:val="center"/>
          </w:tcPr>
          <w:p>
            <w:pPr>
              <w:pStyle w:val="52"/>
              <w:keepNext w:val="0"/>
              <w:keepLines w:val="0"/>
              <w:widowControl/>
              <w:suppressLineNumbers w:val="0"/>
              <w:spacing w:before="0" w:beforeAutospacing="0" w:after="0" w:afterAutospacing="0"/>
              <w:ind w:left="0" w:right="0"/>
              <w:rPr>
                <w:color w:val="auto"/>
              </w:rPr>
            </w:pPr>
          </w:p>
        </w:tc>
        <w:tc>
          <w:tcPr>
            <w:tcW w:w="304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人抬道路区</w:t>
            </w:r>
          </w:p>
        </w:tc>
        <w:tc>
          <w:tcPr>
            <w:tcW w:w="872"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default" w:eastAsia="仿宋_GB2312"/>
                <w:color w:val="auto"/>
                <w:lang w:val="en-US" w:eastAsia="zh-CN"/>
              </w:rPr>
            </w:pPr>
            <w:r>
              <w:rPr>
                <w:rFonts w:hint="eastAsia"/>
                <w:color w:val="auto"/>
                <w:lang w:val="en-US" w:eastAsia="zh-CN"/>
              </w:rPr>
              <w:t>0.70</w:t>
            </w:r>
          </w:p>
        </w:tc>
        <w:tc>
          <w:tcPr>
            <w:tcW w:w="1385"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4"/>
              </w:rPr>
            </w:pPr>
            <w:r>
              <w:rPr>
                <w:color w:val="auto"/>
              </w:rPr>
              <w:t>　</w:t>
            </w:r>
          </w:p>
        </w:tc>
        <w:tc>
          <w:tcPr>
            <w:tcW w:w="1058"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default"/>
                <w:b/>
                <w:bCs/>
                <w:color w:val="auto"/>
                <w:lang w:val="en-US"/>
              </w:rPr>
            </w:pPr>
            <w:r>
              <w:rPr>
                <w:rFonts w:hint="eastAsia"/>
                <w:b/>
                <w:bCs/>
                <w:color w:val="auto"/>
                <w:lang w:val="en-US" w:eastAsia="zh-CN"/>
              </w:rPr>
              <w:t>0.70</w:t>
            </w:r>
          </w:p>
        </w:tc>
      </w:tr>
      <w:tr>
        <w:tblPrEx>
          <w:tblCellMar>
            <w:top w:w="0" w:type="dxa"/>
            <w:left w:w="11" w:type="dxa"/>
            <w:bottom w:w="0" w:type="dxa"/>
            <w:right w:w="11" w:type="dxa"/>
          </w:tblCellMar>
        </w:tblPrEx>
        <w:trPr>
          <w:trHeight w:val="340" w:hRule="atLeast"/>
        </w:trPr>
        <w:tc>
          <w:tcPr>
            <w:tcW w:w="789"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4"/>
              </w:rPr>
            </w:pPr>
            <w:r>
              <w:rPr>
                <w:color w:val="auto"/>
              </w:rPr>
              <w:t>　</w:t>
            </w:r>
          </w:p>
        </w:tc>
        <w:tc>
          <w:tcPr>
            <w:tcW w:w="1023"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4"/>
              </w:rPr>
            </w:pPr>
            <w:r>
              <w:rPr>
                <w:color w:val="auto"/>
              </w:rPr>
              <w:t>　</w:t>
            </w:r>
          </w:p>
        </w:tc>
        <w:tc>
          <w:tcPr>
            <w:tcW w:w="304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小计</w:t>
            </w:r>
          </w:p>
        </w:tc>
        <w:tc>
          <w:tcPr>
            <w:tcW w:w="872"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bCs/>
                <w:color w:val="auto"/>
                <w:lang w:val="en-US" w:eastAsia="zh-CN"/>
              </w:rPr>
            </w:pPr>
            <w:r>
              <w:rPr>
                <w:rFonts w:hint="eastAsia"/>
                <w:b/>
                <w:bCs/>
                <w:color w:val="auto"/>
                <w:lang w:eastAsia="zh-CN"/>
              </w:rPr>
              <w:t>1.81</w:t>
            </w:r>
          </w:p>
        </w:tc>
        <w:tc>
          <w:tcPr>
            <w:tcW w:w="1385"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4"/>
              </w:rPr>
            </w:pPr>
            <w:r>
              <w:rPr>
                <w:color w:val="auto"/>
              </w:rPr>
              <w:t>　</w:t>
            </w:r>
          </w:p>
        </w:tc>
        <w:tc>
          <w:tcPr>
            <w:tcW w:w="1058"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bCs/>
                <w:color w:val="auto"/>
                <w:lang w:val="en-US" w:eastAsia="zh-CN"/>
              </w:rPr>
            </w:pPr>
            <w:r>
              <w:rPr>
                <w:rFonts w:hint="eastAsia"/>
                <w:b/>
                <w:bCs/>
                <w:color w:val="auto"/>
                <w:lang w:eastAsia="zh-CN"/>
              </w:rPr>
              <w:t>1.81</w:t>
            </w:r>
          </w:p>
        </w:tc>
      </w:tr>
    </w:tbl>
    <w:p>
      <w:pPr>
        <w:spacing w:before="120"/>
        <w:ind w:firstLine="480"/>
      </w:pPr>
    </w:p>
    <w:p>
      <w:pPr>
        <w:pStyle w:val="16"/>
        <w:rPr>
          <w:vertAlign w:val="superscript"/>
        </w:rPr>
      </w:pPr>
      <w:r>
        <w:t>水土流失防治责任范围对比表</w:t>
      </w:r>
      <w:r>
        <w:rPr>
          <w:vertAlign w:val="superscript"/>
        </w:rPr>
        <w:t xml:space="preserve"> </w:t>
      </w:r>
      <w:r>
        <w:t>单位：hm</w:t>
      </w:r>
      <w:r>
        <w:rPr>
          <w:vertAlign w:val="superscript"/>
        </w:rPr>
        <w:t>2</w:t>
      </w:r>
    </w:p>
    <w:p>
      <w:pPr>
        <w:pStyle w:val="13"/>
      </w:pPr>
      <w:r>
        <w:t xml:space="preserve">表 </w:t>
      </w:r>
      <w:r>
        <w:fldChar w:fldCharType="begin"/>
      </w:r>
      <w:r>
        <w:instrText xml:space="preserve"> STYLEREF 2 \s </w:instrText>
      </w:r>
      <w:r>
        <w:fldChar w:fldCharType="separate"/>
      </w:r>
      <w:r>
        <w:t>3.1</w:t>
      </w:r>
      <w:r>
        <w:fldChar w:fldCharType="end"/>
      </w:r>
      <w:r>
        <w:noBreakHyphen/>
      </w:r>
      <w:r>
        <w:fldChar w:fldCharType="begin"/>
      </w:r>
      <w:r>
        <w:instrText xml:space="preserve"> SEQ 表 \* ARABIC \s 2 </w:instrText>
      </w:r>
      <w:r>
        <w:fldChar w:fldCharType="separate"/>
      </w:r>
      <w:r>
        <w:t>3</w:t>
      </w:r>
      <w:r>
        <w:fldChar w:fldCharType="end"/>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684"/>
        <w:gridCol w:w="2188"/>
        <w:gridCol w:w="1213"/>
        <w:gridCol w:w="1213"/>
        <w:gridCol w:w="1291"/>
        <w:gridCol w:w="1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872" w:type="dxa"/>
            <w:gridSpan w:val="2"/>
            <w:vMerge w:val="restart"/>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防治分区</w:t>
            </w:r>
          </w:p>
        </w:tc>
        <w:tc>
          <w:tcPr>
            <w:tcW w:w="1213" w:type="dxa"/>
            <w:vMerge w:val="restart"/>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批复面积</w:t>
            </w:r>
          </w:p>
        </w:tc>
        <w:tc>
          <w:tcPr>
            <w:tcW w:w="1213" w:type="dxa"/>
            <w:vMerge w:val="restart"/>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实际面积</w:t>
            </w:r>
          </w:p>
        </w:tc>
        <w:tc>
          <w:tcPr>
            <w:tcW w:w="1291"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变化情况</w:t>
            </w:r>
          </w:p>
        </w:tc>
        <w:tc>
          <w:tcPr>
            <w:tcW w:w="1739" w:type="dxa"/>
            <w:vMerge w:val="restart"/>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防治责任对象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872" w:type="dxa"/>
            <w:gridSpan w:val="2"/>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1"/>
                <w:szCs w:val="21"/>
              </w:rPr>
            </w:pPr>
          </w:p>
        </w:tc>
        <w:tc>
          <w:tcPr>
            <w:tcW w:w="1213"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1"/>
                <w:szCs w:val="21"/>
              </w:rPr>
            </w:pPr>
          </w:p>
        </w:tc>
        <w:tc>
          <w:tcPr>
            <w:tcW w:w="1213"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1"/>
                <w:szCs w:val="21"/>
              </w:rPr>
            </w:pPr>
          </w:p>
        </w:tc>
        <w:tc>
          <w:tcPr>
            <w:tcW w:w="1291"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w:t>
            </w:r>
            <w:r>
              <w:rPr>
                <w:kern w:val="0"/>
                <w:sz w:val="21"/>
                <w:szCs w:val="21"/>
              </w:rPr>
              <w:t>+</w:t>
            </w:r>
            <w:r>
              <w:rPr>
                <w:rFonts w:hint="eastAsia"/>
                <w:kern w:val="0"/>
                <w:sz w:val="21"/>
                <w:szCs w:val="21"/>
              </w:rPr>
              <w:t>、</w:t>
            </w:r>
            <w:r>
              <w:rPr>
                <w:kern w:val="0"/>
                <w:sz w:val="21"/>
                <w:szCs w:val="21"/>
              </w:rPr>
              <w:t>-</w:t>
            </w:r>
            <w:r>
              <w:rPr>
                <w:rFonts w:hint="eastAsia"/>
                <w:kern w:val="0"/>
                <w:sz w:val="21"/>
                <w:szCs w:val="21"/>
              </w:rPr>
              <w:t>）</w:t>
            </w:r>
          </w:p>
        </w:tc>
        <w:tc>
          <w:tcPr>
            <w:tcW w:w="1739"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4" w:type="dxa"/>
            <w:vMerge w:val="restart"/>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变电站工程</w:t>
            </w:r>
          </w:p>
        </w:tc>
        <w:tc>
          <w:tcPr>
            <w:tcW w:w="218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lang w:eastAsia="zh-CN"/>
              </w:rPr>
              <w:t>柯拉</w:t>
            </w:r>
            <w:r>
              <w:rPr>
                <w:rFonts w:hint="eastAsia"/>
                <w:kern w:val="0"/>
                <w:sz w:val="21"/>
                <w:szCs w:val="21"/>
              </w:rPr>
              <w:t>35kV 变电站区</w:t>
            </w:r>
          </w:p>
        </w:tc>
        <w:tc>
          <w:tcPr>
            <w:tcW w:w="121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kern w:val="0"/>
                <w:sz w:val="21"/>
                <w:szCs w:val="21"/>
              </w:rPr>
            </w:pPr>
            <w:r>
              <w:rPr>
                <w:rFonts w:hint="eastAsia"/>
                <w:color w:val="auto"/>
              </w:rPr>
              <w:t>0.1</w:t>
            </w:r>
            <w:r>
              <w:rPr>
                <w:rFonts w:hint="eastAsia"/>
                <w:color w:val="auto"/>
                <w:lang w:val="en-US" w:eastAsia="zh-CN"/>
              </w:rPr>
              <w:t>3</w:t>
            </w:r>
          </w:p>
        </w:tc>
        <w:tc>
          <w:tcPr>
            <w:tcW w:w="121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kern w:val="0"/>
                <w:sz w:val="21"/>
                <w:szCs w:val="21"/>
              </w:rPr>
            </w:pPr>
            <w:r>
              <w:rPr>
                <w:rFonts w:hint="eastAsia"/>
                <w:color w:val="auto"/>
              </w:rPr>
              <w:t>0.1</w:t>
            </w:r>
            <w:r>
              <w:rPr>
                <w:rFonts w:hint="eastAsia"/>
                <w:color w:val="auto"/>
                <w:lang w:val="en-US" w:eastAsia="zh-CN"/>
              </w:rPr>
              <w:t>3</w:t>
            </w:r>
          </w:p>
        </w:tc>
        <w:tc>
          <w:tcPr>
            <w:tcW w:w="1291"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739" w:type="dxa"/>
            <w:vMerge w:val="restart"/>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rPr>
              <w:t>本项目</w:t>
            </w:r>
            <w:r>
              <w:rPr>
                <w:rFonts w:hint="eastAsia"/>
                <w:kern w:val="0"/>
                <w:sz w:val="21"/>
                <w:szCs w:val="21"/>
                <w:lang w:val="en-US" w:eastAsia="zh-CN"/>
              </w:rPr>
              <w:t>弃土区取消，实际发生面积略有减少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4"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1"/>
                <w:szCs w:val="21"/>
              </w:rPr>
            </w:pPr>
          </w:p>
        </w:tc>
        <w:tc>
          <w:tcPr>
            <w:tcW w:w="218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施工场地区</w:t>
            </w:r>
          </w:p>
        </w:tc>
        <w:tc>
          <w:tcPr>
            <w:tcW w:w="121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kern w:val="0"/>
                <w:sz w:val="21"/>
                <w:szCs w:val="21"/>
              </w:rPr>
            </w:pPr>
            <w:r>
              <w:rPr>
                <w:rFonts w:hint="eastAsia"/>
                <w:color w:val="auto"/>
              </w:rPr>
              <w:t>0.02</w:t>
            </w:r>
          </w:p>
        </w:tc>
        <w:tc>
          <w:tcPr>
            <w:tcW w:w="121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kern w:val="0"/>
                <w:sz w:val="21"/>
                <w:szCs w:val="21"/>
              </w:rPr>
            </w:pPr>
            <w:r>
              <w:rPr>
                <w:rFonts w:hint="eastAsia"/>
                <w:color w:val="auto"/>
              </w:rPr>
              <w:t>0.02</w:t>
            </w:r>
          </w:p>
        </w:tc>
        <w:tc>
          <w:tcPr>
            <w:tcW w:w="1291"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739"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4"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1"/>
                <w:szCs w:val="21"/>
              </w:rPr>
            </w:pPr>
          </w:p>
        </w:tc>
        <w:tc>
          <w:tcPr>
            <w:tcW w:w="218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lang w:val="en-US" w:eastAsia="zh-CN"/>
              </w:rPr>
              <w:t>弃土点</w:t>
            </w:r>
            <w:r>
              <w:rPr>
                <w:rFonts w:hint="eastAsia"/>
                <w:kern w:val="0"/>
                <w:sz w:val="21"/>
                <w:szCs w:val="21"/>
              </w:rPr>
              <w:t>区</w:t>
            </w:r>
          </w:p>
        </w:tc>
        <w:tc>
          <w:tcPr>
            <w:tcW w:w="1213" w:type="dxa"/>
            <w:shd w:val="clear" w:color="auto" w:fill="auto"/>
            <w:vAlign w:val="center"/>
          </w:tcPr>
          <w:p>
            <w:pPr>
              <w:pStyle w:val="52"/>
              <w:keepNext w:val="0"/>
              <w:keepLines w:val="0"/>
              <w:widowControl/>
              <w:suppressLineNumbers w:val="0"/>
              <w:spacing w:before="0" w:beforeAutospacing="0" w:after="0" w:afterAutospacing="0"/>
              <w:ind w:left="0" w:right="0" w:firstLine="0" w:firstLineChars="0"/>
              <w:rPr>
                <w:rFonts w:hint="eastAsia" w:eastAsia="仿宋_GB2312"/>
                <w:kern w:val="0"/>
                <w:sz w:val="21"/>
                <w:szCs w:val="21"/>
                <w:lang w:val="en-US" w:eastAsia="zh-CN"/>
              </w:rPr>
            </w:pPr>
            <w:r>
              <w:rPr>
                <w:rFonts w:hint="eastAsia"/>
                <w:color w:val="auto"/>
              </w:rPr>
              <w:t>0.0</w:t>
            </w:r>
            <w:r>
              <w:rPr>
                <w:rFonts w:hint="eastAsia"/>
                <w:color w:val="auto"/>
                <w:lang w:val="en-US" w:eastAsia="zh-CN"/>
              </w:rPr>
              <w:t>4</w:t>
            </w:r>
          </w:p>
        </w:tc>
        <w:tc>
          <w:tcPr>
            <w:tcW w:w="1213" w:type="dxa"/>
            <w:shd w:val="clear" w:color="auto" w:fill="auto"/>
            <w:vAlign w:val="center"/>
          </w:tcPr>
          <w:p>
            <w:pPr>
              <w:pStyle w:val="52"/>
              <w:keepNext w:val="0"/>
              <w:keepLines w:val="0"/>
              <w:widowControl/>
              <w:suppressLineNumbers w:val="0"/>
              <w:spacing w:before="0" w:beforeAutospacing="0" w:after="0" w:afterAutospacing="0"/>
              <w:ind w:left="0" w:right="0" w:firstLine="0" w:firstLineChars="0"/>
              <w:rPr>
                <w:rFonts w:hint="eastAsia" w:eastAsia="仿宋_GB2312"/>
                <w:kern w:val="0"/>
                <w:sz w:val="21"/>
                <w:szCs w:val="21"/>
                <w:lang w:eastAsia="zh-CN"/>
              </w:rPr>
            </w:pPr>
            <w:r>
              <w:rPr>
                <w:rFonts w:hint="eastAsia"/>
                <w:color w:val="auto"/>
                <w:lang w:val="en-US" w:eastAsia="zh-CN"/>
              </w:rPr>
              <w:t>0</w:t>
            </w:r>
          </w:p>
        </w:tc>
        <w:tc>
          <w:tcPr>
            <w:tcW w:w="1291"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-0.04</w:t>
            </w:r>
          </w:p>
        </w:tc>
        <w:tc>
          <w:tcPr>
            <w:tcW w:w="1739"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4"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1"/>
                <w:szCs w:val="21"/>
              </w:rPr>
            </w:pPr>
          </w:p>
        </w:tc>
        <w:tc>
          <w:tcPr>
            <w:tcW w:w="218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小计</w:t>
            </w:r>
          </w:p>
        </w:tc>
        <w:tc>
          <w:tcPr>
            <w:tcW w:w="1213"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0.19</w:t>
            </w:r>
          </w:p>
        </w:tc>
        <w:tc>
          <w:tcPr>
            <w:tcW w:w="1213"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kern w:val="0"/>
                <w:sz w:val="21"/>
                <w:szCs w:val="21"/>
                <w:lang w:val="en-US"/>
              </w:rPr>
            </w:pPr>
            <w:r>
              <w:rPr>
                <w:rFonts w:hint="eastAsia"/>
                <w:kern w:val="0"/>
                <w:sz w:val="21"/>
                <w:szCs w:val="21"/>
                <w:lang w:val="en-US" w:eastAsia="zh-CN"/>
              </w:rPr>
              <w:t>0.15</w:t>
            </w:r>
          </w:p>
        </w:tc>
        <w:tc>
          <w:tcPr>
            <w:tcW w:w="1291"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739"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4" w:type="dxa"/>
            <w:vMerge w:val="restart"/>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线路工程</w:t>
            </w:r>
          </w:p>
        </w:tc>
        <w:tc>
          <w:tcPr>
            <w:tcW w:w="218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电缆工程区</w:t>
            </w:r>
          </w:p>
        </w:tc>
        <w:tc>
          <w:tcPr>
            <w:tcW w:w="121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szCs w:val="21"/>
              </w:rPr>
            </w:pPr>
            <w:r>
              <w:rPr>
                <w:rFonts w:hint="eastAsia"/>
                <w:color w:val="auto"/>
              </w:rPr>
              <w:t>0.0</w:t>
            </w:r>
            <w:r>
              <w:rPr>
                <w:rFonts w:hint="eastAsia"/>
                <w:color w:val="auto"/>
                <w:lang w:val="en-US" w:eastAsia="zh-CN"/>
              </w:rPr>
              <w:t>1</w:t>
            </w:r>
          </w:p>
        </w:tc>
        <w:tc>
          <w:tcPr>
            <w:tcW w:w="121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szCs w:val="21"/>
              </w:rPr>
            </w:pPr>
            <w:r>
              <w:rPr>
                <w:rFonts w:hint="eastAsia"/>
                <w:color w:val="auto"/>
              </w:rPr>
              <w:t>0.0</w:t>
            </w:r>
            <w:r>
              <w:rPr>
                <w:rFonts w:hint="eastAsia"/>
                <w:color w:val="auto"/>
                <w:lang w:val="en-US" w:eastAsia="zh-CN"/>
              </w:rPr>
              <w:t>1</w:t>
            </w:r>
          </w:p>
        </w:tc>
        <w:tc>
          <w:tcPr>
            <w:tcW w:w="1291"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739"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4"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1"/>
                <w:szCs w:val="21"/>
              </w:rPr>
            </w:pPr>
          </w:p>
        </w:tc>
        <w:tc>
          <w:tcPr>
            <w:tcW w:w="218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塔基及塔基临时占地区</w:t>
            </w:r>
          </w:p>
        </w:tc>
        <w:tc>
          <w:tcPr>
            <w:tcW w:w="121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szCs w:val="21"/>
              </w:rPr>
            </w:pPr>
            <w:r>
              <w:rPr>
                <w:rFonts w:hint="eastAsia"/>
                <w:color w:val="auto"/>
                <w:lang w:val="en-US" w:eastAsia="zh-CN"/>
              </w:rPr>
              <w:t>0.84</w:t>
            </w:r>
          </w:p>
        </w:tc>
        <w:tc>
          <w:tcPr>
            <w:tcW w:w="121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szCs w:val="21"/>
              </w:rPr>
            </w:pPr>
            <w:r>
              <w:rPr>
                <w:rFonts w:hint="eastAsia"/>
                <w:color w:val="auto"/>
                <w:lang w:val="en-US" w:eastAsia="zh-CN"/>
              </w:rPr>
              <w:t>0.84</w:t>
            </w:r>
          </w:p>
        </w:tc>
        <w:tc>
          <w:tcPr>
            <w:tcW w:w="1291"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739"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4"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1"/>
                <w:szCs w:val="21"/>
              </w:rPr>
            </w:pPr>
          </w:p>
        </w:tc>
        <w:tc>
          <w:tcPr>
            <w:tcW w:w="218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其他临时占地区</w:t>
            </w:r>
          </w:p>
        </w:tc>
        <w:tc>
          <w:tcPr>
            <w:tcW w:w="121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szCs w:val="21"/>
              </w:rPr>
            </w:pPr>
            <w:r>
              <w:rPr>
                <w:rFonts w:hint="eastAsia"/>
                <w:color w:val="auto"/>
              </w:rPr>
              <w:t>0.</w:t>
            </w:r>
            <w:r>
              <w:rPr>
                <w:rFonts w:hint="eastAsia"/>
                <w:color w:val="auto"/>
                <w:lang w:val="en-US" w:eastAsia="zh-CN"/>
              </w:rPr>
              <w:t>11</w:t>
            </w:r>
          </w:p>
        </w:tc>
        <w:tc>
          <w:tcPr>
            <w:tcW w:w="121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szCs w:val="21"/>
              </w:rPr>
            </w:pPr>
            <w:r>
              <w:rPr>
                <w:rFonts w:hint="eastAsia"/>
                <w:color w:val="auto"/>
              </w:rPr>
              <w:t>0.</w:t>
            </w:r>
            <w:r>
              <w:rPr>
                <w:rFonts w:hint="eastAsia"/>
                <w:color w:val="auto"/>
                <w:lang w:val="en-US" w:eastAsia="zh-CN"/>
              </w:rPr>
              <w:t>11</w:t>
            </w:r>
          </w:p>
        </w:tc>
        <w:tc>
          <w:tcPr>
            <w:tcW w:w="1291"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739"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4"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1"/>
                <w:szCs w:val="21"/>
              </w:rPr>
            </w:pPr>
          </w:p>
        </w:tc>
        <w:tc>
          <w:tcPr>
            <w:tcW w:w="218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人抬道路区</w:t>
            </w:r>
          </w:p>
        </w:tc>
        <w:tc>
          <w:tcPr>
            <w:tcW w:w="121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szCs w:val="21"/>
              </w:rPr>
            </w:pPr>
            <w:r>
              <w:rPr>
                <w:rFonts w:hint="eastAsia"/>
                <w:color w:val="auto"/>
                <w:lang w:val="en-US" w:eastAsia="zh-CN"/>
              </w:rPr>
              <w:t>0.70</w:t>
            </w:r>
          </w:p>
        </w:tc>
        <w:tc>
          <w:tcPr>
            <w:tcW w:w="121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default"/>
                <w:szCs w:val="21"/>
                <w:lang w:val="en-US"/>
              </w:rPr>
            </w:pPr>
            <w:r>
              <w:rPr>
                <w:rFonts w:hint="eastAsia"/>
                <w:color w:val="auto"/>
                <w:lang w:val="en-US" w:eastAsia="zh-CN"/>
              </w:rPr>
              <w:t>0.70</w:t>
            </w:r>
          </w:p>
        </w:tc>
        <w:tc>
          <w:tcPr>
            <w:tcW w:w="1291"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p>
        </w:tc>
        <w:tc>
          <w:tcPr>
            <w:tcW w:w="1739"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4"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1"/>
                <w:szCs w:val="21"/>
              </w:rPr>
            </w:pPr>
          </w:p>
        </w:tc>
        <w:tc>
          <w:tcPr>
            <w:tcW w:w="218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小计</w:t>
            </w:r>
          </w:p>
        </w:tc>
        <w:tc>
          <w:tcPr>
            <w:tcW w:w="1213"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1.66</w:t>
            </w:r>
          </w:p>
        </w:tc>
        <w:tc>
          <w:tcPr>
            <w:tcW w:w="1213"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1.66</w:t>
            </w:r>
          </w:p>
        </w:tc>
        <w:tc>
          <w:tcPr>
            <w:tcW w:w="1291"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p>
        </w:tc>
        <w:tc>
          <w:tcPr>
            <w:tcW w:w="1739"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872" w:type="dxa"/>
            <w:gridSpan w:val="2"/>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合计</w:t>
            </w:r>
          </w:p>
        </w:tc>
        <w:tc>
          <w:tcPr>
            <w:tcW w:w="1213"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eastAsia" w:eastAsia="仿宋_GB2312"/>
                <w:kern w:val="0"/>
                <w:sz w:val="21"/>
                <w:szCs w:val="21"/>
                <w:lang w:eastAsia="zh-CN"/>
              </w:rPr>
            </w:pPr>
            <w:r>
              <w:rPr>
                <w:rFonts w:hint="eastAsia"/>
                <w:kern w:val="0"/>
                <w:sz w:val="21"/>
                <w:szCs w:val="21"/>
                <w:lang w:eastAsia="zh-CN"/>
              </w:rPr>
              <w:t>1.85</w:t>
            </w:r>
          </w:p>
        </w:tc>
        <w:tc>
          <w:tcPr>
            <w:tcW w:w="1213"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eastAsia" w:eastAsia="仿宋_GB2312"/>
                <w:kern w:val="0"/>
                <w:sz w:val="21"/>
                <w:szCs w:val="21"/>
                <w:lang w:eastAsia="zh-CN"/>
              </w:rPr>
            </w:pPr>
            <w:r>
              <w:rPr>
                <w:rFonts w:hint="eastAsia"/>
                <w:kern w:val="0"/>
                <w:sz w:val="21"/>
                <w:szCs w:val="21"/>
                <w:lang w:eastAsia="zh-CN"/>
              </w:rPr>
              <w:t>1.81</w:t>
            </w:r>
          </w:p>
        </w:tc>
        <w:tc>
          <w:tcPr>
            <w:tcW w:w="1291"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-0.04</w:t>
            </w:r>
          </w:p>
        </w:tc>
        <w:tc>
          <w:tcPr>
            <w:tcW w:w="173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　</w:t>
            </w:r>
          </w:p>
        </w:tc>
      </w:tr>
    </w:tbl>
    <w:p>
      <w:pPr>
        <w:spacing w:before="120"/>
        <w:ind w:firstLine="480"/>
      </w:pPr>
    </w:p>
    <w:p>
      <w:pPr>
        <w:pStyle w:val="4"/>
        <w:spacing w:before="120"/>
      </w:pPr>
      <w:bookmarkStart w:id="53" w:name="_Toc496268053"/>
      <w:bookmarkStart w:id="54" w:name="_Toc515294457"/>
      <w:r>
        <w:t>水土流失防治责任范围变化原因分析</w:t>
      </w:r>
      <w:bookmarkEnd w:id="53"/>
      <w:bookmarkEnd w:id="54"/>
    </w:p>
    <w:p>
      <w:pPr>
        <w:spacing w:before="120"/>
        <w:ind w:firstLine="480"/>
      </w:pPr>
      <w:r>
        <w:t>水土保持方案编制深度为</w:t>
      </w:r>
      <w:r>
        <w:rPr>
          <w:rFonts w:hint="eastAsia"/>
          <w:lang w:val="en-US" w:eastAsia="zh-CN"/>
        </w:rPr>
        <w:t>初步设计</w:t>
      </w:r>
      <w:r>
        <w:t>深度，在后期设计和施工中，严格按照批复方案和初步设计方案进行深入和优化设计</w:t>
      </w:r>
      <w:r>
        <w:rPr>
          <w:rFonts w:hint="eastAsia"/>
        </w:rPr>
        <w:t>，</w:t>
      </w:r>
      <w:r>
        <w:rPr>
          <w:rFonts w:hint="eastAsia"/>
          <w:lang w:val="en-US" w:eastAsia="zh-CN"/>
        </w:rPr>
        <w:t>变电站区余方用于场地平整分摊处理，不再单独设置弃土区，因此取消了弃土区，项目整个面积略有减少</w:t>
      </w:r>
      <w:r>
        <w:rPr>
          <w:szCs w:val="21"/>
        </w:rPr>
        <w:t>。</w:t>
      </w:r>
    </w:p>
    <w:p>
      <w:pPr>
        <w:pStyle w:val="3"/>
        <w:spacing w:before="120" w:after="120"/>
        <w:rPr>
          <w:b/>
          <w:bCs/>
        </w:rPr>
      </w:pPr>
      <w:bookmarkStart w:id="55" w:name="_Toc6605"/>
      <w:bookmarkStart w:id="56" w:name="_Toc515294458"/>
      <w:r>
        <w:rPr>
          <w:b/>
          <w:bCs/>
        </w:rPr>
        <w:t>弃渣场设置</w:t>
      </w:r>
      <w:bookmarkEnd w:id="55"/>
      <w:bookmarkEnd w:id="56"/>
    </w:p>
    <w:p>
      <w:pPr>
        <w:spacing w:before="120"/>
        <w:ind w:firstLine="480"/>
      </w:pPr>
      <w:r>
        <w:t>本项目</w:t>
      </w:r>
      <w:r>
        <w:rPr>
          <w:rFonts w:hint="eastAsia"/>
        </w:rPr>
        <w:t>实际</w:t>
      </w:r>
      <w:r>
        <w:t>土石</w:t>
      </w:r>
      <w:r>
        <w:rPr>
          <w:rFonts w:hint="eastAsia"/>
        </w:rPr>
        <w:t>方</w:t>
      </w:r>
      <w:r>
        <w:rPr>
          <w:rFonts w:hint="eastAsia"/>
          <w:lang w:val="en-US" w:eastAsia="zh-CN"/>
        </w:rPr>
        <w:t>总挖方</w:t>
      </w:r>
      <w:r>
        <w:rPr>
          <w:rFonts w:hint="eastAsia"/>
        </w:rPr>
        <w:t>0.</w:t>
      </w:r>
      <w:r>
        <w:rPr>
          <w:rFonts w:hint="eastAsia"/>
          <w:lang w:val="en-US" w:eastAsia="zh-CN"/>
        </w:rPr>
        <w:t>55</w:t>
      </w:r>
      <w:r>
        <w:rPr>
          <w:rFonts w:hint="eastAsia"/>
        </w:rPr>
        <w:t>万m</w:t>
      </w:r>
      <w:r>
        <w:rPr>
          <w:rFonts w:hint="eastAsia"/>
          <w:vertAlign w:val="superscript"/>
        </w:rPr>
        <w:t>3</w:t>
      </w:r>
      <w:r>
        <w:rPr>
          <w:rFonts w:hint="eastAsia"/>
        </w:rPr>
        <w:t>(含剥离表土0.0</w:t>
      </w:r>
      <w:r>
        <w:rPr>
          <w:rFonts w:hint="eastAsia"/>
          <w:lang w:val="en-US" w:eastAsia="zh-CN"/>
        </w:rPr>
        <w:t>5</w:t>
      </w:r>
      <w:r>
        <w:rPr>
          <w:rFonts w:hint="eastAsia"/>
        </w:rPr>
        <w:t>万m</w:t>
      </w:r>
      <w:r>
        <w:rPr>
          <w:rFonts w:hint="eastAsia"/>
          <w:vertAlign w:val="superscript"/>
        </w:rPr>
        <w:t>3</w:t>
      </w:r>
      <w:r>
        <w:rPr>
          <w:rFonts w:hint="eastAsia"/>
        </w:rPr>
        <w:t>)，回填0.</w:t>
      </w:r>
      <w:r>
        <w:rPr>
          <w:rFonts w:hint="eastAsia"/>
          <w:lang w:val="en-US" w:eastAsia="zh-CN"/>
        </w:rPr>
        <w:t>55</w:t>
      </w:r>
      <w:r>
        <w:rPr>
          <w:rFonts w:hint="eastAsia"/>
        </w:rPr>
        <w:t>万m</w:t>
      </w:r>
      <w:r>
        <w:rPr>
          <w:rFonts w:hint="eastAsia"/>
          <w:vertAlign w:val="superscript"/>
        </w:rPr>
        <w:t>3</w:t>
      </w:r>
      <w:r>
        <w:rPr>
          <w:rFonts w:hint="eastAsia"/>
        </w:rPr>
        <w:t>（含覆土0.0</w:t>
      </w:r>
      <w:r>
        <w:rPr>
          <w:rFonts w:hint="eastAsia"/>
          <w:lang w:val="en-US" w:eastAsia="zh-CN"/>
        </w:rPr>
        <w:t>5</w:t>
      </w:r>
      <w:r>
        <w:rPr>
          <w:rFonts w:hint="eastAsia"/>
        </w:rPr>
        <w:t>万m</w:t>
      </w:r>
      <w:r>
        <w:rPr>
          <w:rFonts w:hint="eastAsia"/>
          <w:vertAlign w:val="superscript"/>
        </w:rPr>
        <w:t>3</w:t>
      </w:r>
      <w:r>
        <w:rPr>
          <w:rFonts w:hint="eastAsia"/>
        </w:rPr>
        <w:t>），</w:t>
      </w:r>
      <w:r>
        <w:rPr>
          <w:rFonts w:hint="eastAsia"/>
          <w:lang w:val="en-US" w:eastAsia="zh-CN"/>
        </w:rPr>
        <w:t>产生余方</w:t>
      </w:r>
      <w:r>
        <w:rPr>
          <w:rFonts w:hint="eastAsia"/>
        </w:rPr>
        <w:t>0.</w:t>
      </w:r>
      <w:r>
        <w:rPr>
          <w:rFonts w:hint="eastAsia"/>
          <w:lang w:val="en-US" w:eastAsia="zh-CN"/>
        </w:rPr>
        <w:t>14</w:t>
      </w:r>
      <w:r>
        <w:rPr>
          <w:rFonts w:hint="eastAsia"/>
        </w:rPr>
        <w:t>万m</w:t>
      </w:r>
      <w:r>
        <w:rPr>
          <w:rFonts w:hint="eastAsia"/>
          <w:vertAlign w:val="superscript"/>
        </w:rPr>
        <w:t>3</w:t>
      </w:r>
      <w:r>
        <w:t>，</w:t>
      </w:r>
      <w:r>
        <w:rPr>
          <w:rFonts w:hint="eastAsia" w:ascii="Times New Roman" w:hAnsi="Times New Roman" w:eastAsia="仿宋_GB2312" w:cs="Times New Roman"/>
          <w:kern w:val="2"/>
          <w:sz w:val="24"/>
          <w:szCs w:val="24"/>
          <w:lang w:val="en-US" w:eastAsia="zh-CN" w:bidi="ar"/>
        </w:rPr>
        <w:t>无弃方产生，不设置弃土场，各分区余方分别在变电站区、塔基及塔基施工临时占地区进行摊平处理</w:t>
      </w:r>
      <w:r>
        <w:t>。</w:t>
      </w:r>
    </w:p>
    <w:p>
      <w:pPr>
        <w:pStyle w:val="3"/>
        <w:spacing w:before="120" w:after="120"/>
        <w:rPr>
          <w:b/>
          <w:bCs/>
        </w:rPr>
      </w:pPr>
      <w:bookmarkStart w:id="57" w:name="_Toc19457"/>
      <w:bookmarkStart w:id="58" w:name="_Toc515294459"/>
      <w:r>
        <w:rPr>
          <w:b/>
          <w:bCs/>
        </w:rPr>
        <w:t>取土（石、料）场设置</w:t>
      </w:r>
      <w:bookmarkEnd w:id="57"/>
      <w:bookmarkEnd w:id="58"/>
    </w:p>
    <w:p>
      <w:pPr>
        <w:spacing w:before="120"/>
        <w:ind w:firstLine="480"/>
      </w:pPr>
      <w:r>
        <w:t>经现场调查，查阅施工资料，本项目使用砂石骨料采用外购解决，实际未设置取土（石、料）场。</w:t>
      </w:r>
    </w:p>
    <w:p>
      <w:pPr>
        <w:pStyle w:val="3"/>
        <w:spacing w:before="120" w:after="120"/>
        <w:rPr>
          <w:b/>
          <w:bCs/>
        </w:rPr>
      </w:pPr>
      <w:bookmarkStart w:id="59" w:name="_Toc1665"/>
      <w:bookmarkStart w:id="60" w:name="_Toc515873319"/>
      <w:r>
        <w:rPr>
          <w:b/>
          <w:bCs/>
        </w:rPr>
        <w:t>水土保持措施总体布局</w:t>
      </w:r>
      <w:bookmarkEnd w:id="59"/>
      <w:bookmarkEnd w:id="60"/>
    </w:p>
    <w:p>
      <w:pPr>
        <w:pStyle w:val="4"/>
        <w:spacing w:before="120"/>
      </w:pPr>
      <w:bookmarkStart w:id="61" w:name="_Toc484280795"/>
      <w:bookmarkStart w:id="62" w:name="_Toc489977012"/>
      <w:bookmarkStart w:id="63" w:name="_Toc515873320"/>
      <w:bookmarkStart w:id="64" w:name="_Toc496268056"/>
      <w:r>
        <w:t>水土保持措施总体布局</w:t>
      </w:r>
      <w:bookmarkEnd w:id="61"/>
      <w:bookmarkEnd w:id="62"/>
      <w:bookmarkEnd w:id="63"/>
      <w:bookmarkEnd w:id="64"/>
    </w:p>
    <w:p>
      <w:pPr>
        <w:pStyle w:val="5"/>
        <w:spacing w:before="120"/>
      </w:pPr>
      <w:r>
        <w:t>水土保持措施布局原则</w:t>
      </w:r>
    </w:p>
    <w:p>
      <w:pPr>
        <w:spacing w:before="120"/>
        <w:ind w:firstLine="480"/>
      </w:pPr>
      <w:r>
        <w:t>水土保持方案设计的内容将根据工程区的自然环境状况，结合项目建设特点，有针对性地采取工程、植物和临时措施，预防和治理因工程建设而诱发的新增水土流失。根据工程施工总布置、施工特点和工程完工后的土地利用意向，按照以下原则，布设水土流失防治措施。</w:t>
      </w:r>
    </w:p>
    <w:p>
      <w:pPr>
        <w:spacing w:before="120"/>
        <w:ind w:firstLine="480"/>
      </w:pPr>
      <w:r>
        <w:t>1、坚持“预防为主、防治结合、因需制宜、因害设防”的原则，对因工程建设和生产造成的水土流失防治进行总体设计、全面布局、科学配置。</w:t>
      </w:r>
    </w:p>
    <w:p>
      <w:pPr>
        <w:spacing w:before="120"/>
        <w:ind w:firstLine="480"/>
      </w:pPr>
      <w:r>
        <w:t>2、坚持综合防治、突出重点的原则，对工程区水土流失的防治应采用工程措施挡护、植物措施绿化、土地整治利用的综合防治体系，对工程区水土流失进行治理。同时结合水土流失预测，对工程水土流失严重地段应重点防治。</w:t>
      </w:r>
    </w:p>
    <w:p>
      <w:pPr>
        <w:spacing w:before="120"/>
        <w:ind w:firstLine="480"/>
      </w:pPr>
      <w:r>
        <w:t>3、按照分区防治的原则，结合项目区的地形地貌及气候特点分区采取适当的防治措施进行治理。</w:t>
      </w:r>
    </w:p>
    <w:p>
      <w:pPr>
        <w:spacing w:before="120"/>
        <w:ind w:firstLine="480"/>
      </w:pPr>
      <w:r>
        <w:t>4、生态效益优先原则，水保工程以控制水土流失、改善生态环境、恢复植被为重点。</w:t>
      </w:r>
    </w:p>
    <w:p>
      <w:pPr>
        <w:spacing w:before="120"/>
        <w:ind w:firstLine="480"/>
      </w:pPr>
      <w:r>
        <w:t>5、水土保持措施方案制定、设计与施工过程，在确保水保功能的同时，兼顾经济性和技术上易操作性的原则。水土保持工程措施应尽量就地取材，做到技术上可靠、经济上合理。植物措施要尽量选用适合当地的品种，并考虑绿化美化效果。</w:t>
      </w:r>
    </w:p>
    <w:p>
      <w:pPr>
        <w:spacing w:before="120"/>
        <w:ind w:firstLine="480"/>
      </w:pPr>
      <w:r>
        <w:t>6、项目建设过程中应注重生态环境保护，设置临时性防护措施，减少施工过程中造成的人为扰动及产生的废弃土石渣。</w:t>
      </w:r>
    </w:p>
    <w:p>
      <w:pPr>
        <w:spacing w:before="120"/>
        <w:ind w:firstLine="480"/>
      </w:pPr>
      <w:r>
        <w:t>7、注重吸收当地水土保持的成功经验，借鉴国内外先进技术。</w:t>
      </w:r>
    </w:p>
    <w:p>
      <w:pPr>
        <w:spacing w:before="120"/>
        <w:ind w:firstLine="480"/>
      </w:pPr>
      <w:r>
        <w:t>8、树立人与自然和谐相处的理念，尊重自然规律，注重与周边景观相协调。</w:t>
      </w:r>
    </w:p>
    <w:p>
      <w:pPr>
        <w:spacing w:before="120"/>
        <w:ind w:firstLine="480"/>
      </w:pPr>
      <w:r>
        <w:t>9、工程措施、植物措施、临时措施要合理配置、统筹兼顾、形成综合防护体系。</w:t>
      </w:r>
    </w:p>
    <w:p>
      <w:pPr>
        <w:spacing w:before="120"/>
        <w:ind w:firstLine="480"/>
      </w:pPr>
      <w:r>
        <w:t>10、防治措施布设要与主体工程密切配合，相互协调，形成整体。</w:t>
      </w:r>
    </w:p>
    <w:p>
      <w:pPr>
        <w:spacing w:before="120"/>
        <w:ind w:firstLine="480"/>
      </w:pPr>
      <w:r>
        <w:t>11、水土保持工程要满足与总体工程同时设计、同时施工、同时投产使用的“三同时”要求。</w:t>
      </w:r>
    </w:p>
    <w:p>
      <w:pPr>
        <w:pStyle w:val="5"/>
        <w:spacing w:before="120"/>
      </w:pPr>
      <w:r>
        <w:t>水土保持措施总体布局</w:t>
      </w:r>
    </w:p>
    <w:p>
      <w:pPr>
        <w:spacing w:before="120"/>
        <w:ind w:firstLine="480"/>
      </w:pPr>
      <w:r>
        <w:t>从资料查询的情况看，按项目建设时序、造成水土流失特点及项目主体工程布局，将防治责任区划分为变电站工程区和线路工程区二个一级分区，再根据各分区的施工特点在细分为</w:t>
      </w:r>
      <w:r>
        <w:rPr>
          <w:rFonts w:hint="eastAsia"/>
          <w:lang w:eastAsia="zh-CN"/>
        </w:rPr>
        <w:t>柯拉</w:t>
      </w:r>
      <w:r>
        <w:t>35kV</w:t>
      </w:r>
      <w:r>
        <w:rPr>
          <w:vertAlign w:val="superscript"/>
        </w:rPr>
        <w:t xml:space="preserve"> </w:t>
      </w:r>
      <w:r>
        <w:t>变电站区、施工场地区、电缆工程区、塔基及塔基临时占地区、其他临时占地区和人抬道路区等</w:t>
      </w:r>
      <w:r>
        <w:rPr>
          <w:rFonts w:hint="eastAsia"/>
          <w:lang w:val="en-US" w:eastAsia="zh-CN"/>
        </w:rPr>
        <w:t>6</w:t>
      </w:r>
      <w:r>
        <w:t>个二级防治分区，措施布局如下：</w:t>
      </w:r>
    </w:p>
    <w:p>
      <w:pPr>
        <w:spacing w:before="120"/>
        <w:ind w:firstLine="480"/>
      </w:pPr>
      <w:r>
        <w:t>在施工前期对可剥离表土区域进行了表土剥离；施工过程中采取了临时排水、遮盖等措施，防治施工期的水土流失，施工后期在场地内铺设碎石、敷设排水管、修建排水沟等措施防治区域水土流失。对施工场地采取了临时排水、遮盖等措施，施工结束后进行了整地绿化措施。在塔基及塔基临时占地区域采取了临时排水、拦挡、遮盖等措施，施工结束后进行了整地绿化措施。</w:t>
      </w:r>
    </w:p>
    <w:p>
      <w:pPr>
        <w:pStyle w:val="4"/>
        <w:spacing w:before="120"/>
      </w:pPr>
      <w:bookmarkStart w:id="65" w:name="_Toc515873321"/>
      <w:r>
        <w:t>水土保持措施总体布局情况对比</w:t>
      </w:r>
      <w:bookmarkEnd w:id="65"/>
    </w:p>
    <w:p>
      <w:pPr>
        <w:spacing w:before="120"/>
        <w:ind w:firstLine="480"/>
      </w:pPr>
      <w:r>
        <w:t>工程实际实施的水土保持措施总体布局与设计措施布局对比情况详见表3.4-1。</w:t>
      </w:r>
    </w:p>
    <w:p>
      <w:pPr>
        <w:pStyle w:val="16"/>
      </w:pPr>
      <w:r>
        <w:t>水土保持措施总体布局对比情况表</w:t>
      </w:r>
    </w:p>
    <w:p>
      <w:pPr>
        <w:pStyle w:val="13"/>
      </w:pPr>
      <w:r>
        <w:t>表</w:t>
      </w:r>
      <w:r>
        <w:rPr>
          <w:vertAlign w:val="superscript"/>
        </w:rPr>
        <w:t xml:space="preserve"> </w:t>
      </w:r>
      <w:r>
        <w:fldChar w:fldCharType="begin"/>
      </w:r>
      <w:r>
        <w:instrText xml:space="preserve"> STYLEREF 2 \s </w:instrText>
      </w:r>
      <w:r>
        <w:fldChar w:fldCharType="separate"/>
      </w:r>
      <w:r>
        <w:t>3.4</w:t>
      </w:r>
      <w:r>
        <w:fldChar w:fldCharType="end"/>
      </w:r>
      <w:r>
        <w:noBreakHyphen/>
      </w:r>
      <w:r>
        <w:fldChar w:fldCharType="begin"/>
      </w:r>
      <w:r>
        <w:instrText xml:space="preserve"> SEQ 表 \* ARABIC \s 2 </w:instrText>
      </w:r>
      <w:r>
        <w:fldChar w:fldCharType="separate"/>
      </w:r>
      <w:r>
        <w:t>1</w:t>
      </w:r>
      <w:r>
        <w:fldChar w:fldCharType="end"/>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719"/>
        <w:gridCol w:w="992"/>
        <w:gridCol w:w="1278"/>
        <w:gridCol w:w="1557"/>
        <w:gridCol w:w="1561"/>
        <w:gridCol w:w="1133"/>
        <w:gridCol w:w="1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711" w:type="dxa"/>
            <w:gridSpan w:val="2"/>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防治分区</w:t>
            </w:r>
          </w:p>
        </w:tc>
        <w:tc>
          <w:tcPr>
            <w:tcW w:w="127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措施类型</w:t>
            </w: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方案设计措施</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实际实施措施</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投资列支</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变化说明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变电站工程</w:t>
            </w:r>
          </w:p>
        </w:tc>
        <w:tc>
          <w:tcPr>
            <w:tcW w:w="992"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35KV</w:t>
            </w:r>
            <w:r>
              <w:rPr>
                <w:rFonts w:hint="eastAsia"/>
                <w:color w:val="auto"/>
                <w:sz w:val="18"/>
              </w:rPr>
              <w:t>变电站区</w:t>
            </w:r>
          </w:p>
        </w:tc>
        <w:tc>
          <w:tcPr>
            <w:tcW w:w="1278"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工程措施</w:t>
            </w: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color w:val="auto"/>
                <w:sz w:val="18"/>
                <w:lang w:eastAsia="zh-CN"/>
              </w:rPr>
            </w:pPr>
            <w:r>
              <w:rPr>
                <w:color w:val="auto"/>
                <w:sz w:val="18"/>
              </w:rPr>
              <w:t>截水沟</w:t>
            </w:r>
            <w:r>
              <w:rPr>
                <w:rFonts w:hint="eastAsia"/>
                <w:color w:val="auto"/>
                <w:sz w:val="18"/>
                <w:lang w:eastAsia="zh-CN"/>
              </w:rPr>
              <w:t>、</w:t>
            </w:r>
            <w:r>
              <w:rPr>
                <w:rFonts w:hint="eastAsia"/>
                <w:color w:val="auto"/>
                <w:sz w:val="18"/>
              </w:rPr>
              <w:t>排水管</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截水沟</w:t>
            </w:r>
            <w:r>
              <w:rPr>
                <w:rFonts w:hint="eastAsia"/>
                <w:color w:val="auto"/>
                <w:sz w:val="18"/>
              </w:rPr>
              <w:t>、排水管</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主体设计</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型式根据实际调整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27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sz w:val="18"/>
              </w:rPr>
            </w:pP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铺设碎石</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lang w:val="en-US" w:eastAsia="zh-CN"/>
              </w:rPr>
              <w:t>铺设碎石</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sz w:val="18"/>
              </w:rPr>
            </w:pPr>
            <w:r>
              <w:rPr>
                <w:rFonts w:hint="eastAsia"/>
                <w:color w:val="auto"/>
                <w:sz w:val="18"/>
              </w:rPr>
              <w:t>主体设计</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sz w:val="18"/>
              </w:rPr>
            </w:pPr>
            <w:r>
              <w:rPr>
                <w:rFonts w:hint="eastAsia"/>
                <w:color w:val="auto"/>
                <w:sz w:val="18"/>
              </w:rPr>
              <w:t>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278"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临时措施</w:t>
            </w: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临时</w:t>
            </w:r>
            <w:r>
              <w:rPr>
                <w:color w:val="auto"/>
                <w:sz w:val="18"/>
              </w:rPr>
              <w:t>排水沟</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临时</w:t>
            </w:r>
            <w:r>
              <w:rPr>
                <w:color w:val="auto"/>
                <w:sz w:val="18"/>
              </w:rPr>
              <w:t>排水沟</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方案新增</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27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沉沙凼</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rFonts w:hAnsi="宋体" w:cs="宋体"/>
                <w:color w:val="auto"/>
                <w:sz w:val="18"/>
              </w:rPr>
            </w:pPr>
            <w:r>
              <w:rPr>
                <w:rFonts w:hint="eastAsia"/>
                <w:color w:val="auto"/>
                <w:sz w:val="18"/>
              </w:rPr>
              <w:t>/</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rFonts w:hAnsi="宋体" w:cs="宋体"/>
                <w:color w:val="auto"/>
                <w:sz w:val="18"/>
              </w:rPr>
            </w:pPr>
            <w:r>
              <w:rPr>
                <w:rFonts w:hint="eastAsia"/>
                <w:color w:val="auto"/>
                <w:sz w:val="18"/>
              </w:rPr>
              <w:t>/</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rFonts w:hAnsi="宋体" w:cs="宋体"/>
                <w:color w:val="auto"/>
                <w:sz w:val="18"/>
              </w:rPr>
            </w:pPr>
            <w:r>
              <w:rPr>
                <w:rFonts w:hint="eastAsia"/>
                <w:color w:val="auto"/>
                <w:sz w:val="18"/>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施工场地区</w:t>
            </w:r>
          </w:p>
        </w:tc>
        <w:tc>
          <w:tcPr>
            <w:tcW w:w="127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工程措施</w:t>
            </w: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土地整治</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土地整治</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方案新增</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278"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临时措施</w:t>
            </w: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临时</w:t>
            </w:r>
            <w:r>
              <w:rPr>
                <w:color w:val="auto"/>
                <w:sz w:val="18"/>
              </w:rPr>
              <w:t>排水沟</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临时</w:t>
            </w:r>
            <w:r>
              <w:rPr>
                <w:color w:val="auto"/>
                <w:sz w:val="18"/>
              </w:rPr>
              <w:t>排水沟</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方案新增</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27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沉沙凼</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rFonts w:hAnsi="宋体" w:cs="宋体"/>
                <w:color w:val="auto"/>
                <w:sz w:val="18"/>
              </w:rPr>
            </w:pPr>
            <w:r>
              <w:rPr>
                <w:rFonts w:hint="eastAsia"/>
                <w:color w:val="auto"/>
                <w:sz w:val="18"/>
              </w:rPr>
              <w:t>/</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rFonts w:hAnsi="宋体" w:cs="宋体"/>
                <w:color w:val="auto"/>
                <w:sz w:val="18"/>
              </w:rPr>
            </w:pPr>
            <w:r>
              <w:rPr>
                <w:rFonts w:hint="eastAsia"/>
                <w:color w:val="auto"/>
                <w:sz w:val="18"/>
              </w:rPr>
              <w:t>/</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rFonts w:hAnsi="宋体" w:cs="宋体"/>
                <w:color w:val="auto"/>
                <w:sz w:val="18"/>
              </w:rPr>
            </w:pPr>
            <w:r>
              <w:rPr>
                <w:rFonts w:hint="eastAsia"/>
                <w:color w:val="auto"/>
                <w:sz w:val="18"/>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27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防雨布</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防雨布</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方案新增</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278"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植物措施</w:t>
            </w: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撒草绿化</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撒草绿化</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方案新增</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27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撒播草籽</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撒播草籽</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方案新增</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restart"/>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弃土点区</w:t>
            </w:r>
          </w:p>
        </w:tc>
        <w:tc>
          <w:tcPr>
            <w:tcW w:w="1278" w:type="dxa"/>
            <w:vMerge w:val="restart"/>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工程措施</w:t>
            </w: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土地整治</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lang w:val="en-US" w:eastAsia="zh-CN"/>
              </w:rPr>
              <w:t>/</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w:t>
            </w:r>
          </w:p>
        </w:tc>
        <w:tc>
          <w:tcPr>
            <w:tcW w:w="1088" w:type="dxa"/>
            <w:vMerge w:val="restart"/>
            <w:shd w:val="clear" w:color="auto" w:fill="auto"/>
            <w:vAlign w:val="center"/>
          </w:tcPr>
          <w:p>
            <w:pPr>
              <w:pStyle w:val="52"/>
              <w:keepNext w:val="0"/>
              <w:keepLines w:val="0"/>
              <w:widowControl/>
              <w:suppressLineNumbers w:val="0"/>
              <w:spacing w:before="0" w:beforeAutospacing="0" w:after="0" w:afterAutospacing="0"/>
              <w:ind w:left="0" w:right="0" w:firstLine="0" w:firstLineChars="0"/>
              <w:rPr>
                <w:rFonts w:hint="default" w:ascii="Times New Roman" w:hAnsi="Times New Roman" w:eastAsia="仿宋_GB2312" w:cstheme="minorBidi"/>
                <w:color w:val="auto"/>
                <w:kern w:val="0"/>
                <w:sz w:val="18"/>
                <w:szCs w:val="18"/>
                <w:lang w:val="en-US" w:eastAsia="zh-CN" w:bidi="ar-SA"/>
              </w:rPr>
            </w:pPr>
            <w:r>
              <w:rPr>
                <w:rFonts w:hint="eastAsia" w:cstheme="minorBidi"/>
                <w:color w:val="auto"/>
                <w:kern w:val="0"/>
                <w:sz w:val="18"/>
                <w:szCs w:val="18"/>
                <w:lang w:val="en-US" w:eastAsia="zh-CN" w:bidi="ar-SA"/>
              </w:rPr>
              <w:t>弃土区取消，相应措施取消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sz w:val="18"/>
                <w:lang w:val="en-US" w:eastAsia="zh-CN"/>
              </w:rPr>
            </w:pPr>
          </w:p>
        </w:tc>
        <w:tc>
          <w:tcPr>
            <w:tcW w:w="127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sz w:val="18"/>
                <w:lang w:val="en-US" w:eastAsia="zh-CN"/>
              </w:rPr>
            </w:pP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color w:val="auto"/>
                <w:sz w:val="18"/>
                <w:lang w:val="en-US" w:eastAsia="zh-CN"/>
              </w:rPr>
            </w:pPr>
            <w:r>
              <w:rPr>
                <w:rFonts w:hint="eastAsia"/>
                <w:color w:val="auto"/>
                <w:sz w:val="18"/>
                <w:lang w:val="en-US" w:eastAsia="zh-CN"/>
              </w:rPr>
              <w:t>草袋挡护</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color w:val="auto"/>
                <w:sz w:val="18"/>
                <w:lang w:val="en-US" w:eastAsia="zh-CN"/>
              </w:rPr>
            </w:pPr>
            <w:r>
              <w:rPr>
                <w:rFonts w:hint="eastAsia"/>
                <w:color w:val="auto"/>
                <w:sz w:val="18"/>
                <w:lang w:val="en-US" w:eastAsia="zh-CN"/>
              </w:rPr>
              <w:t>/</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firstLine="0" w:firstLineChars="0"/>
              <w:rPr>
                <w:rFonts w:hint="eastAsia" w:eastAsia="仿宋_GB2312"/>
                <w:color w:val="auto"/>
                <w:sz w:val="18"/>
                <w:lang w:val="en-US" w:eastAsia="zh-CN"/>
              </w:rPr>
            </w:pPr>
            <w:r>
              <w:rPr>
                <w:rFonts w:hint="eastAsia"/>
                <w:color w:val="auto"/>
                <w:sz w:val="18"/>
                <w:lang w:val="en-US" w:eastAsia="zh-CN"/>
              </w:rPr>
              <w:t>/</w:t>
            </w:r>
          </w:p>
        </w:tc>
        <w:tc>
          <w:tcPr>
            <w:tcW w:w="1088" w:type="dxa"/>
            <w:vMerge w:val="continue"/>
            <w:shd w:val="clear" w:color="auto" w:fill="auto"/>
            <w:vAlign w:val="center"/>
          </w:tcPr>
          <w:p>
            <w:pPr>
              <w:pStyle w:val="52"/>
              <w:keepNext w:val="0"/>
              <w:keepLines w:val="0"/>
              <w:widowControl/>
              <w:suppressLineNumbers w:val="0"/>
              <w:spacing w:before="0" w:beforeAutospacing="0" w:after="0" w:afterAutospacing="0"/>
              <w:ind w:left="0" w:right="0" w:firstLine="0" w:firstLineChars="0"/>
              <w:rPr>
                <w:rFonts w:hint="eastAsia"/>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sz w:val="18"/>
                <w:lang w:val="en-US" w:eastAsia="zh-CN"/>
              </w:rPr>
            </w:pPr>
          </w:p>
        </w:tc>
        <w:tc>
          <w:tcPr>
            <w:tcW w:w="1278" w:type="dxa"/>
            <w:vMerge w:val="restart"/>
            <w:shd w:val="clear" w:color="auto" w:fill="auto"/>
            <w:vAlign w:val="center"/>
          </w:tcPr>
          <w:p>
            <w:pPr>
              <w:pStyle w:val="52"/>
              <w:keepNext w:val="0"/>
              <w:keepLines w:val="0"/>
              <w:widowControl/>
              <w:suppressLineNumbers w:val="0"/>
              <w:spacing w:before="0" w:beforeAutospacing="0" w:after="0" w:afterAutospacing="0"/>
              <w:ind w:left="0" w:right="0"/>
              <w:rPr>
                <w:rFonts w:hint="default"/>
                <w:color w:val="auto"/>
                <w:sz w:val="18"/>
                <w:lang w:val="en-US" w:eastAsia="zh-CN"/>
              </w:rPr>
            </w:pPr>
            <w:r>
              <w:rPr>
                <w:rFonts w:hint="eastAsia"/>
                <w:color w:val="auto"/>
                <w:sz w:val="18"/>
                <w:lang w:val="en-US" w:eastAsia="zh-CN"/>
              </w:rPr>
              <w:t>临时措施</w:t>
            </w: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color w:val="auto"/>
                <w:sz w:val="18"/>
                <w:lang w:val="en-US" w:eastAsia="zh-CN"/>
              </w:rPr>
            </w:pPr>
            <w:r>
              <w:rPr>
                <w:rFonts w:hint="eastAsia"/>
                <w:color w:val="auto"/>
                <w:sz w:val="18"/>
                <w:lang w:val="en-US" w:eastAsia="zh-CN"/>
              </w:rPr>
              <w:t>临时排水沟</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w:t>
            </w:r>
          </w:p>
        </w:tc>
        <w:tc>
          <w:tcPr>
            <w:tcW w:w="1088" w:type="dxa"/>
            <w:vMerge w:val="continue"/>
            <w:shd w:val="clear" w:color="auto" w:fill="auto"/>
            <w:vAlign w:val="center"/>
          </w:tcPr>
          <w:p>
            <w:pPr>
              <w:pStyle w:val="52"/>
              <w:keepNext w:val="0"/>
              <w:keepLines w:val="0"/>
              <w:widowControl/>
              <w:suppressLineNumbers w:val="0"/>
              <w:spacing w:before="0" w:beforeAutospacing="0" w:after="0" w:afterAutospacing="0"/>
              <w:ind w:left="0" w:right="0" w:firstLine="0" w:firstLineChars="0"/>
              <w:rPr>
                <w:rFonts w:hint="eastAsia"/>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sz w:val="18"/>
                <w:lang w:val="en-US" w:eastAsia="zh-CN"/>
              </w:rPr>
            </w:pPr>
          </w:p>
        </w:tc>
        <w:tc>
          <w:tcPr>
            <w:tcW w:w="127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sz w:val="18"/>
                <w:lang w:val="en-US" w:eastAsia="zh-CN"/>
              </w:rPr>
            </w:pP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color w:val="auto"/>
                <w:sz w:val="18"/>
                <w:lang w:val="en-US" w:eastAsia="zh-CN"/>
              </w:rPr>
            </w:pPr>
            <w:r>
              <w:rPr>
                <w:rFonts w:hint="eastAsia"/>
                <w:color w:val="auto"/>
                <w:sz w:val="18"/>
                <w:lang w:val="en-US" w:eastAsia="zh-CN"/>
              </w:rPr>
              <w:t>沉沙凼</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w:t>
            </w:r>
          </w:p>
        </w:tc>
        <w:tc>
          <w:tcPr>
            <w:tcW w:w="1088" w:type="dxa"/>
            <w:vMerge w:val="continue"/>
            <w:shd w:val="clear" w:color="auto" w:fill="auto"/>
            <w:vAlign w:val="center"/>
          </w:tcPr>
          <w:p>
            <w:pPr>
              <w:pStyle w:val="52"/>
              <w:keepNext w:val="0"/>
              <w:keepLines w:val="0"/>
              <w:widowControl/>
              <w:suppressLineNumbers w:val="0"/>
              <w:spacing w:before="0" w:beforeAutospacing="0" w:after="0" w:afterAutospacing="0"/>
              <w:ind w:left="0" w:right="0" w:firstLine="0" w:firstLineChars="0"/>
              <w:rPr>
                <w:rFonts w:hint="eastAsia"/>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sz w:val="18"/>
                <w:lang w:val="en-US" w:eastAsia="zh-CN"/>
              </w:rPr>
            </w:pPr>
          </w:p>
        </w:tc>
        <w:tc>
          <w:tcPr>
            <w:tcW w:w="127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sz w:val="18"/>
                <w:lang w:val="en-US" w:eastAsia="zh-CN"/>
              </w:rPr>
            </w:pP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color w:val="auto"/>
                <w:sz w:val="18"/>
                <w:lang w:val="en-US" w:eastAsia="zh-CN"/>
              </w:rPr>
            </w:pPr>
            <w:r>
              <w:rPr>
                <w:rFonts w:hint="eastAsia"/>
                <w:color w:val="auto"/>
                <w:sz w:val="18"/>
                <w:lang w:val="en-US" w:eastAsia="zh-CN"/>
              </w:rPr>
              <w:t>防雨布遮盖</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w:t>
            </w:r>
          </w:p>
        </w:tc>
        <w:tc>
          <w:tcPr>
            <w:tcW w:w="1088" w:type="dxa"/>
            <w:vMerge w:val="continue"/>
            <w:shd w:val="clear" w:color="auto" w:fill="auto"/>
            <w:vAlign w:val="center"/>
          </w:tcPr>
          <w:p>
            <w:pPr>
              <w:pStyle w:val="52"/>
              <w:keepNext w:val="0"/>
              <w:keepLines w:val="0"/>
              <w:widowControl/>
              <w:suppressLineNumbers w:val="0"/>
              <w:spacing w:before="0" w:beforeAutospacing="0" w:after="0" w:afterAutospacing="0"/>
              <w:ind w:left="0" w:right="0" w:firstLine="0" w:firstLineChars="0"/>
              <w:rPr>
                <w:rFonts w:hint="eastAsia"/>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sz w:val="18"/>
                <w:lang w:val="en-US" w:eastAsia="zh-CN"/>
              </w:rPr>
            </w:pPr>
          </w:p>
        </w:tc>
        <w:tc>
          <w:tcPr>
            <w:tcW w:w="1278" w:type="dxa"/>
            <w:vMerge w:val="restart"/>
            <w:shd w:val="clear" w:color="auto" w:fill="auto"/>
            <w:vAlign w:val="center"/>
          </w:tcPr>
          <w:p>
            <w:pPr>
              <w:pStyle w:val="52"/>
              <w:keepNext w:val="0"/>
              <w:keepLines w:val="0"/>
              <w:widowControl/>
              <w:suppressLineNumbers w:val="0"/>
              <w:spacing w:before="0" w:beforeAutospacing="0" w:after="0" w:afterAutospacing="0"/>
              <w:ind w:left="0" w:right="0"/>
              <w:rPr>
                <w:rFonts w:hint="default"/>
                <w:color w:val="auto"/>
                <w:sz w:val="18"/>
                <w:lang w:val="en-US" w:eastAsia="zh-CN"/>
              </w:rPr>
            </w:pPr>
            <w:r>
              <w:rPr>
                <w:rFonts w:hint="eastAsia"/>
                <w:color w:val="auto"/>
                <w:sz w:val="18"/>
                <w:lang w:val="en-US" w:eastAsia="zh-CN"/>
              </w:rPr>
              <w:t>植物措施</w:t>
            </w:r>
          </w:p>
        </w:tc>
        <w:tc>
          <w:tcPr>
            <w:tcW w:w="1557"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rPr>
              <w:t>撒草绿化</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w:t>
            </w:r>
          </w:p>
        </w:tc>
        <w:tc>
          <w:tcPr>
            <w:tcW w:w="1088" w:type="dxa"/>
            <w:vMerge w:val="continue"/>
            <w:shd w:val="clear" w:color="auto" w:fill="auto"/>
            <w:vAlign w:val="center"/>
          </w:tcPr>
          <w:p>
            <w:pPr>
              <w:pStyle w:val="52"/>
              <w:keepNext w:val="0"/>
              <w:keepLines w:val="0"/>
              <w:widowControl/>
              <w:suppressLineNumbers w:val="0"/>
              <w:spacing w:before="0" w:beforeAutospacing="0" w:after="0" w:afterAutospacing="0"/>
              <w:ind w:left="0" w:right="0" w:firstLine="0" w:firstLineChars="0"/>
              <w:rPr>
                <w:rFonts w:hint="eastAsia"/>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sz w:val="18"/>
                <w:lang w:val="en-US" w:eastAsia="zh-CN"/>
              </w:rPr>
            </w:pPr>
          </w:p>
        </w:tc>
        <w:tc>
          <w:tcPr>
            <w:tcW w:w="127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sz w:val="18"/>
                <w:lang w:val="en-US" w:eastAsia="zh-CN"/>
              </w:rPr>
            </w:pPr>
          </w:p>
        </w:tc>
        <w:tc>
          <w:tcPr>
            <w:tcW w:w="1557"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rPr>
              <w:t>撒播草籽</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w:t>
            </w:r>
          </w:p>
        </w:tc>
        <w:tc>
          <w:tcPr>
            <w:tcW w:w="1088" w:type="dxa"/>
            <w:vMerge w:val="continue"/>
            <w:shd w:val="clear" w:color="auto" w:fill="auto"/>
            <w:vAlign w:val="center"/>
          </w:tcPr>
          <w:p>
            <w:pPr>
              <w:pStyle w:val="52"/>
              <w:keepNext w:val="0"/>
              <w:keepLines w:val="0"/>
              <w:widowControl/>
              <w:suppressLineNumbers w:val="0"/>
              <w:spacing w:before="0" w:beforeAutospacing="0" w:after="0" w:afterAutospacing="0"/>
              <w:ind w:left="0" w:right="0" w:firstLine="0" w:firstLineChars="0"/>
              <w:rPr>
                <w:rFonts w:hint="eastAsia"/>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线路工程区</w:t>
            </w:r>
          </w:p>
        </w:tc>
        <w:tc>
          <w:tcPr>
            <w:tcW w:w="992"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电缆工程区</w:t>
            </w:r>
          </w:p>
        </w:tc>
        <w:tc>
          <w:tcPr>
            <w:tcW w:w="127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工程措施</w:t>
            </w: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土地整治</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土地整治</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方案新增</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27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临时措施</w:t>
            </w: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防雨布</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防雨布</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方案新增</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278"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植物措施</w:t>
            </w: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撒草绿化</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撒草绿化</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方案新增</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27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撒播草籽</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撒播草籽</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方案新增</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塔基及塔基临时占地区</w:t>
            </w:r>
          </w:p>
        </w:tc>
        <w:tc>
          <w:tcPr>
            <w:tcW w:w="1278"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工程措施</w:t>
            </w: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排水沟</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排水沟</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主体设计</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27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表土剥离</w:t>
            </w:r>
            <w:r>
              <w:rPr>
                <w:rFonts w:hint="eastAsia"/>
                <w:color w:val="auto"/>
                <w:sz w:val="18"/>
              </w:rPr>
              <w:t>、回铺</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剥离表土</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方案新增</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27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土地整治</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土地整治</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方案新增</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27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color w:val="auto"/>
                <w:sz w:val="18"/>
                <w:lang w:val="en-US" w:eastAsia="zh-CN"/>
              </w:rPr>
            </w:pPr>
            <w:r>
              <w:rPr>
                <w:rFonts w:hint="eastAsia"/>
                <w:color w:val="auto"/>
                <w:sz w:val="18"/>
                <w:lang w:val="en-US" w:eastAsia="zh-CN"/>
              </w:rPr>
              <w:t>草袋挡护</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firstLine="0" w:firstLineChars="0"/>
              <w:rPr>
                <w:rFonts w:ascii="Times New Roman" w:hAnsi="宋体" w:eastAsia="仿宋_GB2312" w:cs="宋体"/>
                <w:color w:val="auto"/>
                <w:kern w:val="0"/>
                <w:sz w:val="18"/>
                <w:szCs w:val="18"/>
                <w:lang w:val="en-US" w:eastAsia="zh-CN" w:bidi="ar-SA"/>
              </w:rPr>
            </w:pPr>
            <w:r>
              <w:rPr>
                <w:rFonts w:hint="eastAsia"/>
                <w:color w:val="auto"/>
                <w:sz w:val="18"/>
              </w:rPr>
              <w:t>/</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firstLine="0" w:firstLineChars="0"/>
              <w:rPr>
                <w:rFonts w:hint="eastAsia" w:ascii="Times New Roman" w:hAnsi="宋体" w:eastAsia="仿宋_GB2312" w:cs="宋体"/>
                <w:color w:val="auto"/>
                <w:kern w:val="0"/>
                <w:sz w:val="18"/>
                <w:szCs w:val="18"/>
                <w:lang w:val="en-US" w:eastAsia="zh-CN" w:bidi="ar-SA"/>
              </w:rPr>
            </w:pPr>
            <w:r>
              <w:rPr>
                <w:rFonts w:hint="eastAsia"/>
                <w:color w:val="auto"/>
                <w:sz w:val="18"/>
              </w:rPr>
              <w:t>/</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firstLine="0" w:firstLineChars="0"/>
              <w:rPr>
                <w:rFonts w:hint="eastAsia" w:ascii="Times New Roman" w:hAnsi="宋体" w:eastAsia="仿宋_GB2312" w:cs="宋体"/>
                <w:color w:val="auto"/>
                <w:kern w:val="0"/>
                <w:sz w:val="18"/>
                <w:szCs w:val="18"/>
                <w:lang w:val="en-US" w:eastAsia="zh-CN" w:bidi="ar-SA"/>
              </w:rPr>
            </w:pPr>
            <w:r>
              <w:rPr>
                <w:rFonts w:hint="eastAsia"/>
                <w:color w:val="auto"/>
                <w:sz w:val="18"/>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278"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临时措施</w:t>
            </w: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土袋挡护</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土袋挡护</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方案新增</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27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防雨布遮盖</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防雨布遮盖</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方案新增</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278"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植物措施</w:t>
            </w: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撒草绿化</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撒草绿化</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方案新增</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27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撒播草籽</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撒播草籽</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方案新增</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其他临时占地区</w:t>
            </w:r>
          </w:p>
        </w:tc>
        <w:tc>
          <w:tcPr>
            <w:tcW w:w="127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工程措施</w:t>
            </w: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土地整治</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土地整治</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方案新增</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27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临时措施</w:t>
            </w: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铺设棕垫</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rFonts w:hAnsi="宋体" w:cs="宋体"/>
                <w:color w:val="auto"/>
                <w:sz w:val="18"/>
              </w:rPr>
            </w:pPr>
            <w:r>
              <w:rPr>
                <w:rFonts w:hint="eastAsia"/>
                <w:color w:val="auto"/>
                <w:sz w:val="18"/>
              </w:rPr>
              <w:t>/</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rFonts w:hAnsi="宋体" w:cs="宋体"/>
                <w:color w:val="auto"/>
                <w:sz w:val="18"/>
              </w:rPr>
            </w:pPr>
            <w:r>
              <w:rPr>
                <w:rFonts w:hint="eastAsia"/>
                <w:color w:val="auto"/>
                <w:sz w:val="18"/>
              </w:rPr>
              <w:t>/</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rFonts w:hAnsi="宋体" w:cs="宋体"/>
                <w:color w:val="auto"/>
                <w:sz w:val="18"/>
              </w:rPr>
            </w:pPr>
            <w:r>
              <w:rPr>
                <w:rFonts w:hint="eastAsia"/>
                <w:color w:val="auto"/>
                <w:sz w:val="18"/>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278"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植物措施</w:t>
            </w: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撒草绿化</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撒草绿化</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方案新增</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27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撒播草籽</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撒播草籽</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方案新增</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人抬道路区</w:t>
            </w:r>
          </w:p>
        </w:tc>
        <w:tc>
          <w:tcPr>
            <w:tcW w:w="127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工程措施</w:t>
            </w: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土地整治</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土地整治</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方案新增</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278"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植物措施</w:t>
            </w: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撒草绿化</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撒草绿化</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方案新增</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71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9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27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p>
        </w:tc>
        <w:tc>
          <w:tcPr>
            <w:tcW w:w="1557"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撒播草籽</w:t>
            </w:r>
          </w:p>
        </w:tc>
        <w:tc>
          <w:tcPr>
            <w:tcW w:w="1561"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color w:val="auto"/>
                <w:sz w:val="18"/>
              </w:rPr>
              <w:t>撒播草籽</w:t>
            </w:r>
          </w:p>
        </w:tc>
        <w:tc>
          <w:tcPr>
            <w:tcW w:w="1133"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方案新增</w:t>
            </w:r>
          </w:p>
        </w:tc>
        <w:tc>
          <w:tcPr>
            <w:tcW w:w="1088"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18"/>
              </w:rPr>
            </w:pPr>
            <w:r>
              <w:rPr>
                <w:rFonts w:hint="eastAsia"/>
                <w:color w:val="auto"/>
                <w:sz w:val="18"/>
              </w:rPr>
              <w:t>无变化</w:t>
            </w:r>
          </w:p>
        </w:tc>
      </w:tr>
    </w:tbl>
    <w:p>
      <w:pPr>
        <w:pStyle w:val="4"/>
        <w:spacing w:before="120"/>
      </w:pPr>
      <w:bookmarkStart w:id="66" w:name="_Toc427331112"/>
      <w:bookmarkStart w:id="67" w:name="_Toc515873322"/>
      <w:bookmarkStart w:id="68" w:name="_Toc24119"/>
      <w:bookmarkStart w:id="69" w:name="_Toc489977013"/>
      <w:bookmarkStart w:id="70" w:name="_Toc496268057"/>
      <w:bookmarkStart w:id="71" w:name="_Toc25007"/>
      <w:bookmarkStart w:id="72" w:name="_Toc484280796"/>
      <w:bookmarkStart w:id="73" w:name="_Toc4202"/>
      <w:r>
        <w:t>水土保持措施总体布局评价</w:t>
      </w:r>
      <w:bookmarkEnd w:id="66"/>
      <w:bookmarkEnd w:id="67"/>
      <w:bookmarkEnd w:id="68"/>
      <w:bookmarkEnd w:id="69"/>
      <w:bookmarkEnd w:id="70"/>
      <w:bookmarkEnd w:id="71"/>
      <w:bookmarkEnd w:id="72"/>
      <w:bookmarkEnd w:id="73"/>
    </w:p>
    <w:p>
      <w:pPr>
        <w:spacing w:before="120"/>
        <w:ind w:firstLine="480"/>
      </w:pPr>
      <w:r>
        <w:t>总的来看，在项目建设过程中，项目区水土流失防治分区科学，实施的水土保持措施总体布局较为合理，注重植物措施与工程措施的结合，永久措施与临时措施相结合，采取综合治理措施防治水土流失。项目建设过程中布设了较为完善的排水及绿化措施，在施工过程中实施了完善的临时排水措施，水土保持措施体系将治理水土流失与恢复项目建设区植被相结合，统一布局各种水土保持措施，对于治理和控制水土流失，改善生态环境，保证主体工程的安全运行有积极的作用。</w:t>
      </w:r>
    </w:p>
    <w:p>
      <w:pPr>
        <w:spacing w:before="120"/>
        <w:ind w:firstLine="480"/>
      </w:pPr>
      <w:r>
        <w:t>经现场调查，本项目实际实施的各项水土保持措施基本按照方案设计水土保持措施体系设置；本项目各区水土流失防治措施体系完整合理，具有较好的水土保持功能，具备验收条件。</w:t>
      </w:r>
    </w:p>
    <w:p>
      <w:pPr>
        <w:pStyle w:val="3"/>
        <w:spacing w:before="120" w:after="120"/>
        <w:rPr>
          <w:b/>
          <w:bCs/>
        </w:rPr>
      </w:pPr>
      <w:bookmarkStart w:id="74" w:name="_Toc515294464"/>
      <w:bookmarkStart w:id="75" w:name="_Toc12060"/>
      <w:r>
        <w:rPr>
          <w:b/>
          <w:bCs/>
        </w:rPr>
        <w:t>水土保持设施完成情况</w:t>
      </w:r>
      <w:bookmarkEnd w:id="74"/>
      <w:bookmarkEnd w:id="75"/>
    </w:p>
    <w:p>
      <w:pPr>
        <w:pStyle w:val="4"/>
        <w:spacing w:before="120"/>
      </w:pPr>
      <w:bookmarkStart w:id="76" w:name="_Toc515294465"/>
      <w:bookmarkStart w:id="77" w:name="_Toc484280800"/>
      <w:bookmarkStart w:id="78" w:name="_Toc489977017"/>
      <w:bookmarkStart w:id="79" w:name="_Toc496268059"/>
      <w:r>
        <w:t>防治措施实施情况</w:t>
      </w:r>
      <w:bookmarkEnd w:id="76"/>
      <w:bookmarkEnd w:id="77"/>
      <w:bookmarkEnd w:id="78"/>
      <w:bookmarkEnd w:id="79"/>
    </w:p>
    <w:p>
      <w:pPr>
        <w:pStyle w:val="5"/>
        <w:spacing w:before="120"/>
      </w:pPr>
      <w:r>
        <w:t>变电站工程</w:t>
      </w:r>
      <w:r>
        <w:rPr>
          <w:rFonts w:hint="eastAsia"/>
        </w:rPr>
        <w:t>区</w:t>
      </w:r>
    </w:p>
    <w:p>
      <w:pPr>
        <w:spacing w:before="120"/>
        <w:ind w:firstLine="480"/>
      </w:pPr>
      <w:r>
        <w:t>变电站工程区水土保持措施主要有区域的</w:t>
      </w:r>
      <w:r>
        <w:rPr>
          <w:rFonts w:hint="eastAsia"/>
        </w:rPr>
        <w:t>土地整治</w:t>
      </w:r>
      <w:r>
        <w:t>、</w:t>
      </w:r>
      <w:r>
        <w:rPr>
          <w:rFonts w:hint="eastAsia"/>
          <w:lang w:val="en-US" w:eastAsia="zh-CN"/>
        </w:rPr>
        <w:t>铺设碎石、</w:t>
      </w:r>
      <w:r>
        <w:t>排水系统，施工过程中的临时遮盖和临时排水措施，以及施工后期的撒草绿化措施；上述各项措施有效的防治各区的水土流失，发挥水土保持作用。</w:t>
      </w:r>
    </w:p>
    <w:p>
      <w:pPr>
        <w:spacing w:before="120"/>
        <w:ind w:firstLine="480"/>
      </w:pPr>
      <w:r>
        <w:t>建设单位和施工单位非常重视水土保持措施在项目建设及安全运营过程中的重要性，尽可能的采用水土保持措施对变电站工程区进行水土流失的预防及治理。</w:t>
      </w:r>
    </w:p>
    <w:p>
      <w:pPr>
        <w:spacing w:before="120"/>
        <w:ind w:firstLine="480"/>
      </w:pPr>
    </w:p>
    <w:p>
      <w:pPr>
        <w:spacing w:before="120"/>
        <w:ind w:firstLine="480"/>
      </w:pPr>
    </w:p>
    <w:p>
      <w:pPr>
        <w:spacing w:before="120"/>
        <w:ind w:firstLine="480"/>
      </w:pPr>
    </w:p>
    <w:p>
      <w:pPr>
        <w:pStyle w:val="16"/>
      </w:pPr>
      <w:r>
        <w:rPr>
          <w:rFonts w:hint="eastAsia"/>
          <w:lang w:val="en-US" w:eastAsia="zh-CN"/>
        </w:rPr>
        <w:t xml:space="preserve">  </w:t>
      </w:r>
      <w:r>
        <w:t>变电站工程区水土保持措施完成情况对比表</w:t>
      </w:r>
    </w:p>
    <w:p>
      <w:pPr>
        <w:pStyle w:val="13"/>
      </w:pPr>
      <w:r>
        <w:t>表</w:t>
      </w:r>
      <w:r>
        <w:rPr>
          <w:vertAlign w:val="superscript"/>
        </w:rPr>
        <w:t xml:space="preserve"> </w:t>
      </w:r>
      <w:r>
        <w:fldChar w:fldCharType="begin"/>
      </w:r>
      <w:r>
        <w:instrText xml:space="preserve"> STYLEREF 2 \s </w:instrText>
      </w:r>
      <w:r>
        <w:fldChar w:fldCharType="separate"/>
      </w:r>
      <w:r>
        <w:t>3.5</w:t>
      </w:r>
      <w:r>
        <w:fldChar w:fldCharType="end"/>
      </w:r>
      <w:r>
        <w:noBreakHyphen/>
      </w:r>
      <w:r>
        <w:fldChar w:fldCharType="begin"/>
      </w:r>
      <w:r>
        <w:instrText xml:space="preserve"> SEQ 表 \* ARABIC \s 2 </w:instrText>
      </w:r>
      <w:r>
        <w:fldChar w:fldCharType="separate"/>
      </w:r>
      <w:r>
        <w:t>1</w:t>
      </w:r>
      <w:r>
        <w:fldChar w:fldCharType="end"/>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1" w:type="dxa"/>
          <w:bottom w:w="0" w:type="dxa"/>
          <w:right w:w="11" w:type="dxa"/>
        </w:tblCellMar>
      </w:tblPr>
      <w:tblGrid>
        <w:gridCol w:w="685"/>
        <w:gridCol w:w="1028"/>
        <w:gridCol w:w="869"/>
        <w:gridCol w:w="1123"/>
        <w:gridCol w:w="686"/>
        <w:gridCol w:w="984"/>
        <w:gridCol w:w="1036"/>
        <w:gridCol w:w="744"/>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blHeader/>
        </w:trPr>
        <w:tc>
          <w:tcPr>
            <w:tcW w:w="17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防治分区</w:t>
            </w:r>
          </w:p>
        </w:tc>
        <w:tc>
          <w:tcPr>
            <w:tcW w:w="86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措施类型</w:t>
            </w: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措施名称</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单位</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设计量</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实施量</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对比</w:t>
            </w: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实施时间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变电站工程区</w:t>
            </w:r>
          </w:p>
        </w:tc>
        <w:tc>
          <w:tcPr>
            <w:tcW w:w="10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35KV</w:t>
            </w:r>
            <w:r>
              <w:rPr>
                <w:rFonts w:hint="eastAsia" w:ascii="Times New Roman" w:hAnsi="Times New Roman" w:eastAsia="仿宋_GB2312" w:cs="仿宋_GB2312"/>
                <w:snapToGrid/>
                <w:color w:val="auto"/>
                <w:kern w:val="2"/>
                <w:sz w:val="21"/>
                <w:szCs w:val="18"/>
                <w:lang w:val="en-US" w:eastAsia="zh-CN" w:bidi="ar"/>
              </w:rPr>
              <w:t>变电站区</w:t>
            </w:r>
          </w:p>
        </w:tc>
        <w:tc>
          <w:tcPr>
            <w:tcW w:w="869" w:type="dxa"/>
            <w:vMerge w:val="restart"/>
            <w:tcBorders>
              <w:top w:val="single" w:color="auto" w:sz="4" w:space="0"/>
              <w:left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工程措施</w:t>
            </w: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截水沟</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m</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color w:val="auto"/>
                <w:kern w:val="2"/>
                <w:sz w:val="21"/>
                <w:szCs w:val="21"/>
                <w:lang w:val="en-US"/>
              </w:rPr>
            </w:pPr>
            <w:r>
              <w:rPr>
                <w:rFonts w:hint="eastAsia" w:cs="Times New Roman"/>
                <w:snapToGrid/>
                <w:color w:val="auto"/>
                <w:kern w:val="2"/>
                <w:sz w:val="21"/>
                <w:szCs w:val="21"/>
                <w:lang w:val="en-US" w:eastAsia="zh-CN" w:bidi="ar"/>
              </w:rPr>
              <w:t>121.8</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125</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+3.2</w:t>
            </w: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color w:val="auto"/>
                <w:kern w:val="2"/>
                <w:sz w:val="21"/>
                <w:szCs w:val="21"/>
                <w:lang w:val="en-US"/>
              </w:rPr>
            </w:pPr>
            <w:r>
              <w:rPr>
                <w:rFonts w:hint="default" w:ascii="Times New Roman" w:hAnsi="Times New Roman" w:eastAsia="仿宋_GB2312" w:cs="Times New Roman"/>
                <w:snapToGrid/>
                <w:color w:val="auto"/>
                <w:kern w:val="2"/>
                <w:sz w:val="21"/>
                <w:szCs w:val="21"/>
                <w:lang w:val="en-US" w:eastAsia="zh-CN" w:bidi="ar"/>
              </w:rPr>
              <w:t>2019.</w:t>
            </w:r>
            <w:r>
              <w:rPr>
                <w:rFonts w:hint="eastAsia" w:cs="Times New Roman"/>
                <w:snapToGrid/>
                <w:color w:val="auto"/>
                <w:kern w:val="2"/>
                <w:sz w:val="21"/>
                <w:szCs w:val="21"/>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排水管</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m</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sz w:val="21"/>
                <w:szCs w:val="21"/>
                <w:lang w:val="en-US"/>
              </w:rPr>
            </w:pPr>
            <w:r>
              <w:rPr>
                <w:rFonts w:hint="eastAsia" w:cs="Times New Roman"/>
                <w:snapToGrid/>
                <w:color w:val="auto"/>
                <w:kern w:val="2"/>
                <w:sz w:val="21"/>
                <w:szCs w:val="21"/>
                <w:lang w:val="en-US" w:eastAsia="zh-CN" w:bidi="ar"/>
              </w:rPr>
              <w:t>10</w:t>
            </w:r>
            <w:r>
              <w:rPr>
                <w:rFonts w:hint="default" w:ascii="Times New Roman" w:hAnsi="Times New Roman" w:eastAsia="仿宋_GB2312" w:cs="Times New Roman"/>
                <w:snapToGrid/>
                <w:color w:val="auto"/>
                <w:kern w:val="2"/>
                <w:sz w:val="21"/>
                <w:szCs w:val="21"/>
                <w:lang w:val="en-US" w:eastAsia="zh-CN" w:bidi="ar"/>
              </w:rPr>
              <w:t>0</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105</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+5</w:t>
            </w: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color w:val="auto"/>
                <w:kern w:val="2"/>
                <w:sz w:val="21"/>
                <w:szCs w:val="21"/>
                <w:lang w:val="en-US"/>
              </w:rPr>
            </w:pPr>
            <w:r>
              <w:rPr>
                <w:rFonts w:hint="default" w:ascii="Times New Roman" w:hAnsi="Times New Roman" w:eastAsia="仿宋_GB2312" w:cs="Times New Roman"/>
                <w:snapToGrid/>
                <w:color w:val="auto"/>
                <w:kern w:val="2"/>
                <w:sz w:val="21"/>
                <w:szCs w:val="21"/>
                <w:lang w:val="en-US" w:eastAsia="zh-CN" w:bidi="ar"/>
              </w:rPr>
              <w:t>2019.</w:t>
            </w:r>
            <w:r>
              <w:rPr>
                <w:rFonts w:hint="eastAsia" w:cs="Times New Roman"/>
                <w:snapToGrid/>
                <w:color w:val="auto"/>
                <w:kern w:val="2"/>
                <w:sz w:val="21"/>
                <w:szCs w:val="21"/>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ascii="Times New Roman" w:hAnsi="Times New Roman" w:eastAsia="仿宋_GB2312" w:cs="仿宋_GB2312"/>
                <w:snapToGrid/>
                <w:color w:val="auto"/>
                <w:kern w:val="2"/>
                <w:sz w:val="21"/>
                <w:szCs w:val="18"/>
                <w:lang w:val="en-US" w:eastAsia="zh-CN" w:bidi="ar"/>
              </w:rPr>
            </w:pPr>
            <w:r>
              <w:rPr>
                <w:rFonts w:hint="eastAsia" w:cs="仿宋_GB2312"/>
                <w:snapToGrid/>
                <w:color w:val="auto"/>
                <w:kern w:val="2"/>
                <w:sz w:val="21"/>
                <w:szCs w:val="18"/>
                <w:lang w:val="en-US" w:eastAsia="zh-CN" w:bidi="ar"/>
              </w:rPr>
              <w:t>铺设碎石</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ascii="Times New Roman" w:hAnsi="Times New Roman" w:eastAsia="仿宋_GB2312" w:cs="Times New Roman"/>
                <w:snapToGrid/>
                <w:color w:val="auto"/>
                <w:kern w:val="2"/>
                <w:sz w:val="21"/>
                <w:szCs w:val="18"/>
                <w:lang w:val="en-US" w:eastAsia="zh-CN" w:bidi="ar"/>
              </w:rPr>
            </w:pPr>
            <w:r>
              <w:rPr>
                <w:rFonts w:hint="eastAsia" w:cs="Times New Roman"/>
                <w:snapToGrid/>
                <w:color w:val="auto"/>
                <w:kern w:val="2"/>
                <w:sz w:val="21"/>
                <w:szCs w:val="18"/>
                <w:lang w:val="en-US" w:eastAsia="zh-CN" w:bidi="ar"/>
              </w:rPr>
              <w:t>m</w:t>
            </w:r>
            <w:r>
              <w:rPr>
                <w:rFonts w:hint="eastAsia" w:cs="Times New Roman"/>
                <w:snapToGrid/>
                <w:color w:val="auto"/>
                <w:kern w:val="2"/>
                <w:sz w:val="21"/>
                <w:szCs w:val="18"/>
                <w:vertAlign w:val="superscript"/>
                <w:lang w:val="en-US" w:eastAsia="zh-CN" w:bidi="ar"/>
              </w:rPr>
              <w:t>2</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cs="Times New Roman"/>
                <w:snapToGrid/>
                <w:color w:val="auto"/>
                <w:kern w:val="2"/>
                <w:sz w:val="21"/>
                <w:szCs w:val="21"/>
                <w:lang w:val="en-US" w:eastAsia="zh-CN" w:bidi="ar"/>
              </w:rPr>
            </w:pPr>
            <w:r>
              <w:rPr>
                <w:rFonts w:hint="eastAsia" w:cs="Times New Roman"/>
                <w:snapToGrid/>
                <w:color w:val="auto"/>
                <w:kern w:val="2"/>
                <w:sz w:val="21"/>
                <w:szCs w:val="21"/>
                <w:lang w:val="en-US" w:eastAsia="zh-CN" w:bidi="ar"/>
              </w:rPr>
              <w:t>248</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ascii="Times New Roman" w:hAnsi="Times New Roman" w:eastAsia="仿宋_GB2312" w:cs="Times New Roman"/>
                <w:snapToGrid/>
                <w:color w:val="auto"/>
                <w:kern w:val="2"/>
                <w:sz w:val="21"/>
                <w:szCs w:val="21"/>
                <w:lang w:val="en-US" w:eastAsia="zh-CN" w:bidi="ar"/>
              </w:rPr>
            </w:pPr>
            <w:r>
              <w:rPr>
                <w:rFonts w:hint="eastAsia" w:cs="Times New Roman"/>
                <w:snapToGrid/>
                <w:color w:val="auto"/>
                <w:kern w:val="2"/>
                <w:sz w:val="21"/>
                <w:szCs w:val="21"/>
                <w:lang w:val="en-US" w:eastAsia="zh-CN" w:bidi="ar"/>
              </w:rPr>
              <w:t>248</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ascii="Times New Roman" w:hAnsi="Times New Roman" w:eastAsia="仿宋_GB2312" w:cs="Times New Roman"/>
                <w:snapToGrid/>
                <w:color w:val="auto"/>
                <w:kern w:val="2"/>
                <w:sz w:val="21"/>
                <w:szCs w:val="21"/>
                <w:lang w:val="en-US" w:eastAsia="zh-CN" w:bidi="ar"/>
              </w:rPr>
            </w:pP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hint="default" w:ascii="Times New Roman" w:hAnsi="Times New Roman" w:eastAsia="仿宋_GB2312" w:cs="Times New Roman"/>
                <w:snapToGrid/>
                <w:color w:val="auto"/>
                <w:kern w:val="2"/>
                <w:sz w:val="21"/>
                <w:szCs w:val="21"/>
                <w:lang w:val="en-US" w:eastAsia="zh-CN" w:bidi="ar"/>
              </w:rPr>
            </w:pPr>
            <w:r>
              <w:rPr>
                <w:rFonts w:hint="default" w:ascii="Times New Roman" w:hAnsi="Times New Roman" w:eastAsia="仿宋_GB2312" w:cs="Times New Roman"/>
                <w:snapToGrid/>
                <w:color w:val="auto"/>
                <w:kern w:val="2"/>
                <w:sz w:val="21"/>
                <w:szCs w:val="21"/>
                <w:lang w:val="en-US" w:eastAsia="zh-CN" w:bidi="ar"/>
              </w:rPr>
              <w:t>2019.</w:t>
            </w:r>
            <w:r>
              <w:rPr>
                <w:rFonts w:hint="eastAsia" w:cs="Times New Roman"/>
                <w:snapToGrid/>
                <w:color w:val="auto"/>
                <w:kern w:val="2"/>
                <w:sz w:val="21"/>
                <w:szCs w:val="21"/>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临时措施</w:t>
            </w: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临时排水沟</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m</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80</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85</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+5</w:t>
            </w: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color w:val="auto"/>
                <w:kern w:val="2"/>
                <w:sz w:val="21"/>
                <w:szCs w:val="21"/>
                <w:lang w:val="en-US"/>
              </w:rPr>
            </w:pPr>
            <w:r>
              <w:rPr>
                <w:rFonts w:hint="default" w:ascii="Times New Roman" w:hAnsi="Times New Roman" w:eastAsia="仿宋_GB2312" w:cs="Times New Roman"/>
                <w:snapToGrid/>
                <w:color w:val="auto"/>
                <w:kern w:val="2"/>
                <w:sz w:val="21"/>
                <w:szCs w:val="21"/>
                <w:lang w:val="en-US" w:eastAsia="zh-CN" w:bidi="ar"/>
              </w:rPr>
              <w:t>2019.6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沉沙凼</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座</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1</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-1</w:t>
            </w: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施工场地区</w:t>
            </w:r>
          </w:p>
        </w:tc>
        <w:tc>
          <w:tcPr>
            <w:tcW w:w="86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工程措施</w:t>
            </w: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土地整治</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hm</w:t>
            </w:r>
            <w:r>
              <w:rPr>
                <w:rFonts w:hint="default" w:ascii="Times New Roman" w:hAnsi="Times New Roman" w:eastAsia="仿宋_GB2312" w:cs="Times New Roman"/>
                <w:snapToGrid/>
                <w:color w:val="auto"/>
                <w:kern w:val="2"/>
                <w:sz w:val="21"/>
                <w:szCs w:val="18"/>
                <w:vertAlign w:val="superscript"/>
                <w:lang w:val="en-US" w:eastAsia="zh-CN" w:bidi="ar"/>
              </w:rPr>
              <w:t>2</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0.02</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0.02</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sz w:val="21"/>
                <w:szCs w:val="21"/>
                <w:lang w:val="en-US"/>
              </w:rPr>
            </w:pP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sz w:val="21"/>
                <w:szCs w:val="21"/>
                <w:lang w:val="en-US"/>
              </w:rPr>
            </w:pPr>
            <w:r>
              <w:rPr>
                <w:rFonts w:hint="default"/>
                <w:color w:val="auto"/>
                <w:kern w:val="2"/>
                <w:sz w:val="21"/>
                <w:szCs w:val="21"/>
                <w:lang w:val="en-US" w:eastAsia="zh-CN"/>
              </w:rPr>
              <w:t>2019.10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临时措施</w:t>
            </w: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临时排水沟</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m</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40</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50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+10</w:t>
            </w: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sz w:val="21"/>
                <w:szCs w:val="21"/>
                <w:lang w:val="en-US"/>
              </w:rPr>
            </w:pPr>
            <w:r>
              <w:rPr>
                <w:rFonts w:hint="default" w:ascii="Times New Roman" w:hAnsi="Times New Roman" w:eastAsia="仿宋_GB2312" w:cs="Times New Roman"/>
                <w:kern w:val="2"/>
                <w:sz w:val="21"/>
                <w:szCs w:val="21"/>
                <w:lang w:val="en-US" w:eastAsia="zh-CN" w:bidi="ar"/>
              </w:rPr>
              <w:t>2019.6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沉沙凼</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座</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1</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-1</w:t>
            </w: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防雨布</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m</w:t>
            </w:r>
            <w:r>
              <w:rPr>
                <w:rFonts w:hint="default" w:ascii="Times New Roman" w:hAnsi="Times New Roman" w:eastAsia="仿宋_GB2312" w:cs="Times New Roman"/>
                <w:snapToGrid/>
                <w:color w:val="auto"/>
                <w:kern w:val="2"/>
                <w:sz w:val="21"/>
                <w:szCs w:val="18"/>
                <w:vertAlign w:val="superscript"/>
                <w:lang w:val="en-US" w:eastAsia="zh-CN" w:bidi="ar"/>
              </w:rPr>
              <w:t>2</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80</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350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+270</w:t>
            </w: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color w:val="auto"/>
                <w:kern w:val="2"/>
                <w:sz w:val="21"/>
                <w:szCs w:val="21"/>
                <w:lang w:val="en-US" w:eastAsia="zh-CN"/>
              </w:rPr>
            </w:pPr>
            <w:r>
              <w:rPr>
                <w:rFonts w:hint="default"/>
                <w:color w:val="auto"/>
                <w:kern w:val="2"/>
                <w:sz w:val="21"/>
                <w:szCs w:val="21"/>
                <w:lang w:val="en-US" w:eastAsia="zh-CN"/>
              </w:rPr>
              <w:t>2019.</w:t>
            </w:r>
            <w:r>
              <w:rPr>
                <w:rFonts w:hint="eastAsia"/>
                <w:color w:val="auto"/>
                <w:kern w:val="2"/>
                <w:sz w:val="21"/>
                <w:szCs w:val="21"/>
                <w:lang w:val="en-US" w:eastAsia="zh-CN"/>
              </w:rPr>
              <w:t>5</w:t>
            </w:r>
            <w:r>
              <w:rPr>
                <w:rFonts w:hint="default"/>
                <w:color w:val="auto"/>
                <w:kern w:val="2"/>
                <w:sz w:val="21"/>
                <w:szCs w:val="21"/>
                <w:lang w:val="en-US" w:eastAsia="zh-CN"/>
              </w:rPr>
              <w:t>~</w:t>
            </w:r>
          </w:p>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color w:val="auto"/>
                <w:kern w:val="2"/>
                <w:sz w:val="21"/>
                <w:szCs w:val="21"/>
                <w:lang w:val="en-US" w:eastAsia="zh-CN"/>
              </w:rPr>
            </w:pPr>
            <w:r>
              <w:rPr>
                <w:rFonts w:hint="default"/>
                <w:color w:val="auto"/>
                <w:kern w:val="2"/>
                <w:sz w:val="21"/>
                <w:szCs w:val="21"/>
                <w:lang w:val="en-US" w:eastAsia="zh-CN"/>
              </w:rPr>
              <w:t>2019.9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植物措施</w:t>
            </w: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绿化面积</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hm</w:t>
            </w:r>
            <w:r>
              <w:rPr>
                <w:rFonts w:hint="default" w:ascii="Times New Roman" w:hAnsi="Times New Roman" w:eastAsia="仿宋_GB2312" w:cs="Times New Roman"/>
                <w:snapToGrid/>
                <w:color w:val="auto"/>
                <w:kern w:val="2"/>
                <w:sz w:val="21"/>
                <w:szCs w:val="18"/>
                <w:vertAlign w:val="superscript"/>
                <w:lang w:val="en-US" w:eastAsia="zh-CN" w:bidi="ar"/>
              </w:rPr>
              <w:t>2</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0.02</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0.02</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sz w:val="21"/>
                <w:szCs w:val="21"/>
                <w:lang w:val="en-US"/>
              </w:rPr>
            </w:pP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color w:val="auto"/>
                <w:kern w:val="2"/>
                <w:sz w:val="21"/>
                <w:szCs w:val="21"/>
                <w:lang w:val="en-US"/>
              </w:rPr>
            </w:pPr>
            <w:r>
              <w:rPr>
                <w:rFonts w:hint="default" w:ascii="Times New Roman" w:hAnsi="Times New Roman" w:eastAsia="仿宋_GB2312" w:cs="Times New Roman"/>
                <w:snapToGrid/>
                <w:color w:val="auto"/>
                <w:kern w:val="2"/>
                <w:sz w:val="21"/>
                <w:szCs w:val="21"/>
                <w:lang w:val="en-US" w:eastAsia="zh-CN" w:bidi="ar"/>
              </w:rPr>
              <w:t>2019.</w:t>
            </w:r>
            <w:r>
              <w:rPr>
                <w:rFonts w:hint="eastAsia" w:cs="Times New Roman"/>
                <w:snapToGrid/>
                <w:color w:val="auto"/>
                <w:kern w:val="2"/>
                <w:sz w:val="21"/>
                <w:szCs w:val="21"/>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撒播草籽</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kg</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1</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3</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+2</w:t>
            </w: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color w:val="auto"/>
                <w:kern w:val="2"/>
                <w:sz w:val="21"/>
                <w:szCs w:val="21"/>
                <w:lang w:val="en-US"/>
              </w:rPr>
            </w:pPr>
            <w:r>
              <w:rPr>
                <w:rFonts w:hint="default" w:ascii="Times New Roman" w:hAnsi="Times New Roman" w:eastAsia="仿宋_GB2312" w:cs="Times New Roman"/>
                <w:snapToGrid/>
                <w:color w:val="auto"/>
                <w:kern w:val="2"/>
                <w:sz w:val="21"/>
                <w:szCs w:val="21"/>
                <w:lang w:val="en-US" w:eastAsia="zh-CN" w:bidi="ar"/>
              </w:rPr>
              <w:t>20</w:t>
            </w:r>
            <w:r>
              <w:rPr>
                <w:rFonts w:hint="eastAsia" w:cs="Times New Roman"/>
                <w:snapToGrid/>
                <w:color w:val="auto"/>
                <w:kern w:val="2"/>
                <w:sz w:val="21"/>
                <w:szCs w:val="21"/>
                <w:lang w:val="en-US" w:eastAsia="zh-CN" w:bidi="ar"/>
              </w:rPr>
              <w:t>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弃土点区</w:t>
            </w:r>
          </w:p>
        </w:tc>
        <w:tc>
          <w:tcPr>
            <w:tcW w:w="869" w:type="dxa"/>
            <w:vMerge w:val="restart"/>
            <w:tcBorders>
              <w:top w:val="single" w:color="auto" w:sz="4" w:space="0"/>
              <w:left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工程措施</w:t>
            </w: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土地整治</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hm</w:t>
            </w:r>
            <w:r>
              <w:rPr>
                <w:rFonts w:hint="default" w:ascii="Times New Roman" w:hAnsi="Times New Roman" w:eastAsia="仿宋_GB2312" w:cs="Times New Roman"/>
                <w:snapToGrid/>
                <w:color w:val="auto"/>
                <w:kern w:val="2"/>
                <w:sz w:val="21"/>
                <w:szCs w:val="18"/>
                <w:vertAlign w:val="superscript"/>
                <w:lang w:val="en-US" w:eastAsia="zh-CN" w:bidi="ar"/>
              </w:rPr>
              <w:t>2</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0.04</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-0.04</w:t>
            </w:r>
          </w:p>
        </w:tc>
        <w:tc>
          <w:tcPr>
            <w:tcW w:w="11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sz w:val="21"/>
                <w:szCs w:val="21"/>
                <w:lang w:val="en-US"/>
              </w:rPr>
            </w:pPr>
            <w:r>
              <w:rPr>
                <w:rFonts w:hint="eastAsia" w:ascii="Times New Roman" w:hAnsi="Times New Roman" w:eastAsia="仿宋_GB2312" w:cs="仿宋_GB2312"/>
                <w:snapToGrid/>
                <w:color w:val="auto"/>
                <w:kern w:val="2"/>
                <w:sz w:val="21"/>
                <w:szCs w:val="21"/>
                <w:lang w:val="en-US" w:eastAsia="zh-CN" w:bidi="ar"/>
              </w:rPr>
              <w:t>实际施工中弃土点区取消，相应措施不再实施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left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ascii="Times New Roman" w:hAnsi="Times New Roman" w:eastAsia="仿宋_GB2312" w:cs="仿宋_GB2312"/>
                <w:snapToGrid/>
                <w:color w:val="auto"/>
                <w:kern w:val="2"/>
                <w:sz w:val="21"/>
                <w:szCs w:val="18"/>
                <w:lang w:val="en-US" w:eastAsia="zh-CN" w:bidi="ar"/>
              </w:rPr>
            </w:pPr>
          </w:p>
        </w:tc>
        <w:tc>
          <w:tcPr>
            <w:tcW w:w="869" w:type="dxa"/>
            <w:vMerge w:val="continue"/>
            <w:tcBorders>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ascii="Times New Roman" w:hAnsi="Times New Roman" w:eastAsia="仿宋_GB2312" w:cs="仿宋_GB2312"/>
                <w:snapToGrid/>
                <w:color w:val="auto"/>
                <w:kern w:val="2"/>
                <w:sz w:val="21"/>
                <w:szCs w:val="18"/>
                <w:lang w:val="en-US" w:eastAsia="zh-CN" w:bidi="ar"/>
              </w:rPr>
            </w:pP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ascii="Times New Roman" w:hAnsi="Times New Roman" w:eastAsia="仿宋_GB2312" w:cs="仿宋_GB2312"/>
                <w:snapToGrid/>
                <w:color w:val="auto"/>
                <w:kern w:val="2"/>
                <w:sz w:val="21"/>
                <w:szCs w:val="18"/>
                <w:lang w:val="en-US" w:eastAsia="zh-CN" w:bidi="ar"/>
              </w:rPr>
            </w:pPr>
            <w:r>
              <w:rPr>
                <w:rFonts w:hint="eastAsia" w:cs="仿宋_GB2312"/>
                <w:snapToGrid/>
                <w:color w:val="auto"/>
                <w:kern w:val="2"/>
                <w:sz w:val="21"/>
                <w:szCs w:val="18"/>
                <w:lang w:val="en-US" w:eastAsia="zh-CN" w:bidi="ar"/>
              </w:rPr>
              <w:t>草袋挡护</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ascii="Times New Roman" w:hAnsi="Times New Roman" w:eastAsia="仿宋_GB2312" w:cs="Times New Roman"/>
                <w:snapToGrid/>
                <w:color w:val="auto"/>
                <w:kern w:val="2"/>
                <w:sz w:val="21"/>
                <w:szCs w:val="18"/>
                <w:lang w:val="en-US" w:eastAsia="zh-CN" w:bidi="ar"/>
              </w:rPr>
            </w:pPr>
            <w:r>
              <w:rPr>
                <w:rFonts w:hint="default" w:ascii="Times New Roman" w:hAnsi="Times New Roman" w:eastAsia="仿宋_GB2312" w:cs="Times New Roman"/>
                <w:snapToGrid/>
                <w:color w:val="auto"/>
                <w:kern w:val="2"/>
                <w:sz w:val="21"/>
                <w:szCs w:val="18"/>
                <w:lang w:val="en-US" w:eastAsia="zh-CN" w:bidi="ar"/>
              </w:rPr>
              <w:t>m</w:t>
            </w:r>
            <w:r>
              <w:rPr>
                <w:rFonts w:hint="default" w:ascii="Times New Roman" w:hAnsi="Times New Roman" w:eastAsia="仿宋_GB2312" w:cs="Times New Roman"/>
                <w:snapToGrid/>
                <w:color w:val="auto"/>
                <w:kern w:val="2"/>
                <w:sz w:val="21"/>
                <w:szCs w:val="18"/>
                <w:vertAlign w:val="superscript"/>
                <w:lang w:val="en-US" w:eastAsia="zh-CN" w:bidi="ar"/>
              </w:rPr>
              <w:t>3</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color w:val="auto"/>
                <w:kern w:val="2"/>
                <w:sz w:val="21"/>
                <w:szCs w:val="21"/>
                <w:lang w:val="en-US" w:eastAsia="zh-CN"/>
              </w:rPr>
            </w:pPr>
            <w:r>
              <w:rPr>
                <w:rFonts w:hint="eastAsia"/>
                <w:color w:val="auto"/>
                <w:kern w:val="2"/>
                <w:sz w:val="21"/>
                <w:szCs w:val="21"/>
                <w:lang w:val="en-US" w:eastAsia="zh-CN"/>
              </w:rPr>
              <w:t>33.6</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-33.6</w:t>
            </w:r>
          </w:p>
        </w:tc>
        <w:tc>
          <w:tcPr>
            <w:tcW w:w="1173" w:type="dxa"/>
            <w:vMerge w:val="continue"/>
            <w:tcBorders>
              <w:left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ascii="Times New Roman" w:hAnsi="Times New Roman" w:eastAsia="仿宋_GB2312" w:cs="仿宋_GB2312"/>
                <w:snapToGrid/>
                <w:color w:val="auto"/>
                <w:kern w:val="2"/>
                <w:sz w:val="21"/>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临时措施</w:t>
            </w: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土袋挡护</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m</w:t>
            </w:r>
            <w:r>
              <w:rPr>
                <w:rFonts w:hint="default" w:ascii="Times New Roman" w:hAnsi="Times New Roman" w:eastAsia="仿宋_GB2312" w:cs="Times New Roman"/>
                <w:snapToGrid/>
                <w:color w:val="auto"/>
                <w:kern w:val="2"/>
                <w:sz w:val="21"/>
                <w:szCs w:val="18"/>
                <w:vertAlign w:val="superscript"/>
                <w:lang w:val="en-US" w:eastAsia="zh-CN" w:bidi="ar"/>
              </w:rPr>
              <w:t>3</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60</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-60</w:t>
            </w:r>
          </w:p>
        </w:tc>
        <w:tc>
          <w:tcPr>
            <w:tcW w:w="11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continue"/>
            <w:tcBorders>
              <w:left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ascii="Times New Roman" w:hAnsi="Times New Roman" w:eastAsia="仿宋_GB2312" w:cs="仿宋_GB2312"/>
                <w:snapToGrid/>
                <w:color w:val="auto"/>
                <w:kern w:val="2"/>
                <w:sz w:val="21"/>
                <w:szCs w:val="18"/>
                <w:lang w:val="en-US" w:eastAsia="zh-CN" w:bidi="ar"/>
              </w:rPr>
            </w:pP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ascii="Times New Roman" w:hAnsi="Times New Roman" w:eastAsia="仿宋_GB2312" w:cs="仿宋_GB2312"/>
                <w:snapToGrid/>
                <w:color w:val="auto"/>
                <w:kern w:val="2"/>
                <w:sz w:val="21"/>
                <w:szCs w:val="18"/>
                <w:lang w:val="en-US" w:eastAsia="zh-CN" w:bidi="ar"/>
              </w:rPr>
            </w:pPr>
            <w:r>
              <w:rPr>
                <w:rFonts w:hint="eastAsia" w:cs="仿宋_GB2312"/>
                <w:snapToGrid/>
                <w:color w:val="auto"/>
                <w:kern w:val="2"/>
                <w:sz w:val="21"/>
                <w:szCs w:val="18"/>
                <w:lang w:val="en-US" w:eastAsia="zh-CN" w:bidi="ar"/>
              </w:rPr>
              <w:t>沉沙凼</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ascii="Times New Roman" w:hAnsi="Times New Roman" w:eastAsia="仿宋_GB2312" w:cs="Times New Roman"/>
                <w:snapToGrid/>
                <w:color w:val="auto"/>
                <w:kern w:val="2"/>
                <w:sz w:val="21"/>
                <w:szCs w:val="18"/>
                <w:lang w:val="en-US" w:eastAsia="zh-CN" w:bidi="ar"/>
              </w:rPr>
            </w:pPr>
            <w:r>
              <w:rPr>
                <w:rFonts w:hint="eastAsia" w:cs="Times New Roman"/>
                <w:snapToGrid/>
                <w:color w:val="auto"/>
                <w:kern w:val="2"/>
                <w:sz w:val="21"/>
                <w:szCs w:val="18"/>
                <w:lang w:val="en-US" w:eastAsia="zh-CN" w:bidi="ar"/>
              </w:rPr>
              <w:t>座</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color w:val="auto"/>
                <w:kern w:val="2"/>
                <w:sz w:val="21"/>
                <w:szCs w:val="21"/>
                <w:lang w:val="en-US" w:eastAsia="zh-CN"/>
              </w:rPr>
            </w:pPr>
            <w:r>
              <w:rPr>
                <w:rFonts w:hint="eastAsia"/>
                <w:color w:val="auto"/>
                <w:kern w:val="2"/>
                <w:sz w:val="21"/>
                <w:szCs w:val="21"/>
                <w:lang w:val="en-US" w:eastAsia="zh-CN"/>
              </w:rPr>
              <w:t>2</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-2</w:t>
            </w:r>
          </w:p>
        </w:tc>
        <w:tc>
          <w:tcPr>
            <w:tcW w:w="11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防雨布</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m</w:t>
            </w:r>
            <w:r>
              <w:rPr>
                <w:rFonts w:hint="default" w:ascii="Times New Roman" w:hAnsi="Times New Roman" w:eastAsia="仿宋_GB2312" w:cs="Times New Roman"/>
                <w:snapToGrid/>
                <w:color w:val="auto"/>
                <w:kern w:val="2"/>
                <w:sz w:val="21"/>
                <w:szCs w:val="18"/>
                <w:vertAlign w:val="superscript"/>
                <w:lang w:val="en-US" w:eastAsia="zh-CN" w:bidi="ar"/>
              </w:rPr>
              <w:t>2</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400</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-400</w:t>
            </w:r>
          </w:p>
        </w:tc>
        <w:tc>
          <w:tcPr>
            <w:tcW w:w="11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植物措施</w:t>
            </w: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绿化面积</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hm</w:t>
            </w:r>
            <w:r>
              <w:rPr>
                <w:rFonts w:hint="default" w:ascii="Times New Roman" w:hAnsi="Times New Roman" w:eastAsia="仿宋_GB2312" w:cs="Times New Roman"/>
                <w:snapToGrid/>
                <w:color w:val="auto"/>
                <w:kern w:val="2"/>
                <w:sz w:val="21"/>
                <w:szCs w:val="18"/>
                <w:vertAlign w:val="superscript"/>
                <w:lang w:val="en-US" w:eastAsia="zh-CN" w:bidi="ar"/>
              </w:rPr>
              <w:t>2</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0.04</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-0.04</w:t>
            </w:r>
          </w:p>
        </w:tc>
        <w:tc>
          <w:tcPr>
            <w:tcW w:w="11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撒播草籽</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kg</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2</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-2</w:t>
            </w:r>
          </w:p>
        </w:tc>
        <w:tc>
          <w:tcPr>
            <w:tcW w:w="11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r>
    </w:tbl>
    <w:p>
      <w:pPr>
        <w:spacing w:before="120"/>
        <w:ind w:firstLine="480"/>
      </w:pPr>
      <w:r>
        <w:t>根据现场实际，变电站工程区</w:t>
      </w:r>
      <w:r>
        <w:rPr>
          <w:rFonts w:hint="eastAsia"/>
          <w:lang w:val="en-US" w:eastAsia="zh-CN"/>
        </w:rPr>
        <w:t>取消了弃土区，该区相应措施不再实施，其余各区措施略有增加</w:t>
      </w:r>
      <w:r>
        <w:t>。根据主体工程区内的水土保持措施实施情况及效果可知，本区内采取了工程措施、植物措施和临时措施三大措施相结合，防治措施体系完善、各项措施布置合理，工程措施运行正常，防治水土流失效果较好，实际完成的水土保持措施效果较水保方案中水土保持功能未降低。</w:t>
      </w:r>
    </w:p>
    <w:p>
      <w:pPr>
        <w:pStyle w:val="5"/>
        <w:spacing w:before="120"/>
      </w:pPr>
      <w:r>
        <w:t>线路工程区</w:t>
      </w:r>
    </w:p>
    <w:p>
      <w:pPr>
        <w:spacing w:before="120"/>
        <w:ind w:firstLine="480"/>
      </w:pPr>
      <w:r>
        <w:t>线路工程区水土保持</w:t>
      </w:r>
      <w:r>
        <w:rPr>
          <w:rFonts w:hint="eastAsia"/>
          <w:lang w:val="en-US" w:eastAsia="zh-CN"/>
        </w:rPr>
        <w:t>工程</w:t>
      </w:r>
      <w:r>
        <w:t>措施主要有表土剥离</w:t>
      </w:r>
      <w:r>
        <w:rPr>
          <w:rFonts w:hint="eastAsia"/>
          <w:lang w:val="en-US" w:eastAsia="zh-CN"/>
        </w:rPr>
        <w:t>及回铺</w:t>
      </w:r>
      <w:r>
        <w:t>、排水系统，施工过程中的临时遮盖和临时排水措施，以及施工后期的撒草绿化措施；上述各项措施有效的防治各区的水土流失，发挥水土保持作用。</w:t>
      </w:r>
    </w:p>
    <w:p>
      <w:pPr>
        <w:spacing w:before="120"/>
        <w:ind w:firstLine="480"/>
      </w:pPr>
      <w:r>
        <w:t>建设单位和施工单位非常重视水土保持措施在项目建设及安全运营过程中的重要性，尽可能的采用水土保持措施对线路工程区进行水土流失的预防及治理。</w:t>
      </w:r>
    </w:p>
    <w:p>
      <w:pPr>
        <w:pStyle w:val="16"/>
      </w:pPr>
      <w:r>
        <w:t>线路工程区水土保持措施完成情况对比表</w:t>
      </w:r>
    </w:p>
    <w:p>
      <w:pPr>
        <w:pStyle w:val="13"/>
      </w:pPr>
      <w:r>
        <w:t xml:space="preserve">表 </w:t>
      </w:r>
      <w:r>
        <w:fldChar w:fldCharType="begin"/>
      </w:r>
      <w:r>
        <w:instrText xml:space="preserve"> STYLEREF 2 \s </w:instrText>
      </w:r>
      <w:r>
        <w:fldChar w:fldCharType="separate"/>
      </w:r>
      <w:r>
        <w:t>3.5</w:t>
      </w:r>
      <w:r>
        <w:fldChar w:fldCharType="end"/>
      </w:r>
      <w:r>
        <w:noBreakHyphen/>
      </w:r>
      <w:r>
        <w:fldChar w:fldCharType="begin"/>
      </w:r>
      <w:r>
        <w:instrText xml:space="preserve"> SEQ 表 \* ARABIC \s 2 </w:instrText>
      </w:r>
      <w:r>
        <w:fldChar w:fldCharType="separate"/>
      </w:r>
      <w:r>
        <w:t>2</w:t>
      </w:r>
      <w:r>
        <w:fldChar w:fldCharType="end"/>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685"/>
        <w:gridCol w:w="1028"/>
        <w:gridCol w:w="869"/>
        <w:gridCol w:w="1123"/>
        <w:gridCol w:w="686"/>
        <w:gridCol w:w="1016"/>
        <w:gridCol w:w="1037"/>
        <w:gridCol w:w="711"/>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blHeader/>
        </w:trPr>
        <w:tc>
          <w:tcPr>
            <w:tcW w:w="1713" w:type="dxa"/>
            <w:gridSpan w:val="2"/>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防治分区</w:t>
            </w:r>
          </w:p>
        </w:tc>
        <w:tc>
          <w:tcPr>
            <w:tcW w:w="86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措施类型</w:t>
            </w: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措施名称</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单位</w:t>
            </w:r>
          </w:p>
        </w:tc>
        <w:tc>
          <w:tcPr>
            <w:tcW w:w="101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设计量</w:t>
            </w:r>
          </w:p>
        </w:tc>
        <w:tc>
          <w:tcPr>
            <w:tcW w:w="1037"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实施量</w:t>
            </w:r>
          </w:p>
        </w:tc>
        <w:tc>
          <w:tcPr>
            <w:tcW w:w="711"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对比</w:t>
            </w: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实施时间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线路工程区</w:t>
            </w:r>
          </w:p>
        </w:tc>
        <w:tc>
          <w:tcPr>
            <w:tcW w:w="1028"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电缆工程区</w:t>
            </w:r>
          </w:p>
        </w:tc>
        <w:tc>
          <w:tcPr>
            <w:tcW w:w="86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工程措施</w:t>
            </w: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土地整治</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hm</w:t>
            </w:r>
            <w:r>
              <w:rPr>
                <w:color w:val="auto"/>
                <w:vertAlign w:val="superscript"/>
              </w:rPr>
              <w:t>2</w:t>
            </w:r>
          </w:p>
        </w:tc>
        <w:tc>
          <w:tcPr>
            <w:tcW w:w="1016"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0.01</w:t>
            </w:r>
          </w:p>
        </w:tc>
        <w:tc>
          <w:tcPr>
            <w:tcW w:w="103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0.01</w:t>
            </w:r>
          </w:p>
        </w:tc>
        <w:tc>
          <w:tcPr>
            <w:tcW w:w="711"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73" w:type="dxa"/>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hint="default" w:eastAsia="仿宋_GB2312"/>
                <w:color w:val="auto"/>
                <w:lang w:val="en-US" w:eastAsia="zh-CN"/>
              </w:rPr>
            </w:pPr>
            <w:r>
              <w:rPr>
                <w:rFonts w:hint="default" w:ascii="Times New Roman" w:hAnsi="Times New Roman" w:eastAsia="仿宋_GB2312" w:cs="Times New Roman"/>
                <w:snapToGrid/>
                <w:color w:val="auto"/>
                <w:kern w:val="2"/>
                <w:sz w:val="21"/>
                <w:szCs w:val="18"/>
                <w:lang w:val="en-US" w:eastAsia="zh-CN" w:bidi="ar"/>
              </w:rPr>
              <w:t>2019.10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临时措施</w:t>
            </w: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防雨布</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m</w:t>
            </w:r>
            <w:r>
              <w:rPr>
                <w:color w:val="auto"/>
                <w:vertAlign w:val="superscript"/>
              </w:rPr>
              <w:t>2</w:t>
            </w:r>
          </w:p>
        </w:tc>
        <w:tc>
          <w:tcPr>
            <w:tcW w:w="1016"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100</w:t>
            </w:r>
          </w:p>
        </w:tc>
        <w:tc>
          <w:tcPr>
            <w:tcW w:w="103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275</w:t>
            </w:r>
          </w:p>
        </w:tc>
        <w:tc>
          <w:tcPr>
            <w:tcW w:w="71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+175</w:t>
            </w:r>
          </w:p>
        </w:tc>
        <w:tc>
          <w:tcPr>
            <w:tcW w:w="1173" w:type="dxa"/>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2019.6~</w:t>
            </w:r>
          </w:p>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color w:val="auto"/>
              </w:rPr>
            </w:pPr>
            <w:r>
              <w:rPr>
                <w:rFonts w:hint="default" w:ascii="Times New Roman" w:hAnsi="Times New Roman" w:eastAsia="仿宋_GB2312" w:cs="Times New Roman"/>
                <w:snapToGrid/>
                <w:color w:val="auto"/>
                <w:kern w:val="2"/>
                <w:sz w:val="21"/>
                <w:szCs w:val="18"/>
                <w:lang w:val="en-US" w:eastAsia="zh-CN" w:bidi="ar"/>
              </w:rPr>
              <w:t>2019.9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植物措施</w:t>
            </w: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绿化</w:t>
            </w:r>
            <w:r>
              <w:rPr>
                <w:rFonts w:hint="eastAsia"/>
                <w:color w:val="auto"/>
              </w:rPr>
              <w:t>面积</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hm</w:t>
            </w:r>
            <w:r>
              <w:rPr>
                <w:color w:val="auto"/>
                <w:vertAlign w:val="superscript"/>
              </w:rPr>
              <w:t>2</w:t>
            </w:r>
          </w:p>
        </w:tc>
        <w:tc>
          <w:tcPr>
            <w:tcW w:w="1016"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0.01</w:t>
            </w:r>
          </w:p>
        </w:tc>
        <w:tc>
          <w:tcPr>
            <w:tcW w:w="103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0.01</w:t>
            </w:r>
          </w:p>
        </w:tc>
        <w:tc>
          <w:tcPr>
            <w:tcW w:w="711"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73" w:type="dxa"/>
            <w:vMerge w:val="restart"/>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hint="default" w:eastAsia="仿宋_GB2312"/>
                <w:color w:val="auto"/>
                <w:lang w:val="en-US" w:eastAsia="zh-CN"/>
              </w:rPr>
            </w:pPr>
            <w:r>
              <w:rPr>
                <w:rFonts w:hint="default" w:ascii="Times New Roman" w:hAnsi="Times New Roman" w:eastAsia="仿宋_GB2312" w:cs="Times New Roman"/>
                <w:snapToGrid/>
                <w:color w:val="auto"/>
                <w:kern w:val="2"/>
                <w:sz w:val="21"/>
                <w:szCs w:val="18"/>
                <w:lang w:val="en-US" w:eastAsia="zh-CN" w:bidi="ar"/>
              </w:rPr>
              <w:t>2019.10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撒播草籽</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kg</w:t>
            </w:r>
          </w:p>
        </w:tc>
        <w:tc>
          <w:tcPr>
            <w:tcW w:w="1016"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0.5</w:t>
            </w:r>
          </w:p>
        </w:tc>
        <w:tc>
          <w:tcPr>
            <w:tcW w:w="103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w:t>
            </w:r>
          </w:p>
        </w:tc>
        <w:tc>
          <w:tcPr>
            <w:tcW w:w="71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+1.5</w:t>
            </w:r>
          </w:p>
        </w:tc>
        <w:tc>
          <w:tcPr>
            <w:tcW w:w="1173"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塔基及塔基临时占地区</w:t>
            </w:r>
          </w:p>
        </w:tc>
        <w:tc>
          <w:tcPr>
            <w:tcW w:w="869"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工程措施</w:t>
            </w: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排水沟</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color w:val="auto"/>
                <w:lang w:eastAsia="zh-CN"/>
              </w:rPr>
            </w:pPr>
            <w:r>
              <w:rPr>
                <w:rFonts w:hint="eastAsia"/>
                <w:color w:val="auto"/>
                <w:lang w:val="en-US" w:eastAsia="zh-CN"/>
              </w:rPr>
              <w:t>m</w:t>
            </w:r>
          </w:p>
        </w:tc>
        <w:tc>
          <w:tcPr>
            <w:tcW w:w="1016"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134</w:t>
            </w:r>
          </w:p>
        </w:tc>
        <w:tc>
          <w:tcPr>
            <w:tcW w:w="103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166</w:t>
            </w:r>
          </w:p>
        </w:tc>
        <w:tc>
          <w:tcPr>
            <w:tcW w:w="71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+32</w:t>
            </w: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lang w:val="en-US" w:eastAsia="zh-CN"/>
              </w:rPr>
            </w:pPr>
            <w:r>
              <w:rPr>
                <w:rFonts w:hint="eastAsia"/>
                <w:color w:val="auto"/>
                <w:lang w:val="en-US" w:eastAsia="zh-CN"/>
              </w:rPr>
              <w:t>2019.6~</w:t>
            </w:r>
          </w:p>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2019.9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剥离表土</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万</w:t>
            </w:r>
            <w:r>
              <w:rPr>
                <w:color w:val="auto"/>
              </w:rPr>
              <w:t>m</w:t>
            </w:r>
            <w:r>
              <w:rPr>
                <w:color w:val="auto"/>
                <w:vertAlign w:val="superscript"/>
              </w:rPr>
              <w:t>3</w:t>
            </w:r>
          </w:p>
        </w:tc>
        <w:tc>
          <w:tcPr>
            <w:tcW w:w="1016"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0.05</w:t>
            </w:r>
          </w:p>
        </w:tc>
        <w:tc>
          <w:tcPr>
            <w:tcW w:w="103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0.05</w:t>
            </w:r>
          </w:p>
        </w:tc>
        <w:tc>
          <w:tcPr>
            <w:tcW w:w="711"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2019.6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土地整治</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hm</w:t>
            </w:r>
            <w:r>
              <w:rPr>
                <w:color w:val="auto"/>
                <w:vertAlign w:val="superscript"/>
              </w:rPr>
              <w:t>2</w:t>
            </w:r>
          </w:p>
        </w:tc>
        <w:tc>
          <w:tcPr>
            <w:tcW w:w="1016"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0.81</w:t>
            </w:r>
          </w:p>
        </w:tc>
        <w:tc>
          <w:tcPr>
            <w:tcW w:w="103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0.81</w:t>
            </w:r>
          </w:p>
        </w:tc>
        <w:tc>
          <w:tcPr>
            <w:tcW w:w="711"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2019.10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表</w:t>
            </w:r>
            <w:r>
              <w:rPr>
                <w:rFonts w:hint="eastAsia"/>
                <w:color w:val="auto"/>
              </w:rPr>
              <w:t>土</w:t>
            </w:r>
            <w:r>
              <w:rPr>
                <w:color w:val="auto"/>
              </w:rPr>
              <w:t>回铺</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万</w:t>
            </w:r>
            <w:r>
              <w:rPr>
                <w:color w:val="auto"/>
              </w:rPr>
              <w:t>m</w:t>
            </w:r>
            <w:r>
              <w:rPr>
                <w:color w:val="auto"/>
                <w:vertAlign w:val="superscript"/>
              </w:rPr>
              <w:t>3</w:t>
            </w:r>
          </w:p>
        </w:tc>
        <w:tc>
          <w:tcPr>
            <w:tcW w:w="1016"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0.05</w:t>
            </w:r>
          </w:p>
        </w:tc>
        <w:tc>
          <w:tcPr>
            <w:tcW w:w="103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0.05</w:t>
            </w:r>
          </w:p>
        </w:tc>
        <w:tc>
          <w:tcPr>
            <w:tcW w:w="711"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2019.10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草袋挡护</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rPr>
            </w:pPr>
            <w:r>
              <w:rPr>
                <w:color w:val="auto"/>
              </w:rPr>
              <w:t>m</w:t>
            </w:r>
            <w:r>
              <w:rPr>
                <w:color w:val="auto"/>
                <w:vertAlign w:val="superscript"/>
              </w:rPr>
              <w:t>3</w:t>
            </w:r>
          </w:p>
        </w:tc>
        <w:tc>
          <w:tcPr>
            <w:tcW w:w="1016"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color w:val="auto"/>
                <w:lang w:val="en-US" w:eastAsia="zh-CN"/>
              </w:rPr>
            </w:pPr>
            <w:r>
              <w:rPr>
                <w:rFonts w:hint="eastAsia"/>
                <w:color w:val="auto"/>
                <w:lang w:val="en-US" w:eastAsia="zh-CN"/>
              </w:rPr>
              <w:t>36.54</w:t>
            </w:r>
          </w:p>
        </w:tc>
        <w:tc>
          <w:tcPr>
            <w:tcW w:w="103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w:t>
            </w:r>
          </w:p>
        </w:tc>
        <w:tc>
          <w:tcPr>
            <w:tcW w:w="71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-36.54</w:t>
            </w: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措施重复，取消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临时措施</w:t>
            </w: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土袋挡护</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m</w:t>
            </w:r>
            <w:r>
              <w:rPr>
                <w:color w:val="auto"/>
                <w:vertAlign w:val="superscript"/>
              </w:rPr>
              <w:t>3</w:t>
            </w:r>
          </w:p>
        </w:tc>
        <w:tc>
          <w:tcPr>
            <w:tcW w:w="1016"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597.8</w:t>
            </w:r>
          </w:p>
        </w:tc>
        <w:tc>
          <w:tcPr>
            <w:tcW w:w="103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655</w:t>
            </w:r>
          </w:p>
        </w:tc>
        <w:tc>
          <w:tcPr>
            <w:tcW w:w="71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+57.2</w:t>
            </w: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lang w:val="en-US" w:eastAsia="zh-CN"/>
              </w:rPr>
            </w:pPr>
            <w:r>
              <w:rPr>
                <w:rFonts w:hint="eastAsia"/>
                <w:color w:val="auto"/>
                <w:lang w:val="en-US" w:eastAsia="zh-CN"/>
              </w:rPr>
              <w:t>2019.6~</w:t>
            </w:r>
          </w:p>
          <w:p>
            <w:pPr>
              <w:pStyle w:val="52"/>
              <w:keepNext w:val="0"/>
              <w:keepLines w:val="0"/>
              <w:widowControl/>
              <w:suppressLineNumbers w:val="0"/>
              <w:spacing w:before="0" w:beforeAutospacing="0" w:after="0" w:afterAutospacing="0"/>
              <w:ind w:left="0" w:right="0"/>
              <w:rPr>
                <w:color w:val="auto"/>
              </w:rPr>
            </w:pPr>
            <w:r>
              <w:rPr>
                <w:rFonts w:hint="eastAsia"/>
                <w:color w:val="auto"/>
                <w:lang w:val="en-US" w:eastAsia="zh-CN"/>
              </w:rPr>
              <w:t>2019.9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防雨布</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m</w:t>
            </w:r>
            <w:r>
              <w:rPr>
                <w:color w:val="auto"/>
                <w:vertAlign w:val="superscript"/>
              </w:rPr>
              <w:t>2</w:t>
            </w:r>
          </w:p>
        </w:tc>
        <w:tc>
          <w:tcPr>
            <w:tcW w:w="1016"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4200</w:t>
            </w:r>
          </w:p>
        </w:tc>
        <w:tc>
          <w:tcPr>
            <w:tcW w:w="103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6500</w:t>
            </w:r>
          </w:p>
        </w:tc>
        <w:tc>
          <w:tcPr>
            <w:tcW w:w="71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+2300</w:t>
            </w: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lang w:val="en-US" w:eastAsia="zh-CN"/>
              </w:rPr>
            </w:pPr>
            <w:r>
              <w:rPr>
                <w:rFonts w:hint="eastAsia"/>
                <w:color w:val="auto"/>
                <w:lang w:val="en-US" w:eastAsia="zh-CN"/>
              </w:rPr>
              <w:t>2019.6~</w:t>
            </w:r>
          </w:p>
          <w:p>
            <w:pPr>
              <w:pStyle w:val="52"/>
              <w:keepNext w:val="0"/>
              <w:keepLines w:val="0"/>
              <w:widowControl/>
              <w:suppressLineNumbers w:val="0"/>
              <w:spacing w:before="0" w:beforeAutospacing="0" w:after="0" w:afterAutospacing="0"/>
              <w:ind w:left="0" w:right="0"/>
              <w:rPr>
                <w:color w:val="auto"/>
              </w:rPr>
            </w:pPr>
            <w:r>
              <w:rPr>
                <w:rFonts w:hint="eastAsia"/>
                <w:color w:val="auto"/>
                <w:lang w:val="en-US" w:eastAsia="zh-CN"/>
              </w:rPr>
              <w:t>2019.9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植物措施</w:t>
            </w: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绿化</w:t>
            </w:r>
            <w:r>
              <w:rPr>
                <w:rFonts w:hint="eastAsia"/>
                <w:color w:val="auto"/>
              </w:rPr>
              <w:t>面积</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hm</w:t>
            </w:r>
            <w:r>
              <w:rPr>
                <w:color w:val="auto"/>
                <w:vertAlign w:val="superscript"/>
              </w:rPr>
              <w:t>2</w:t>
            </w:r>
          </w:p>
        </w:tc>
        <w:tc>
          <w:tcPr>
            <w:tcW w:w="1016"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0.81</w:t>
            </w:r>
          </w:p>
        </w:tc>
        <w:tc>
          <w:tcPr>
            <w:tcW w:w="103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0.74</w:t>
            </w:r>
          </w:p>
        </w:tc>
        <w:tc>
          <w:tcPr>
            <w:tcW w:w="71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-0.07</w:t>
            </w: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2019.10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firstLine="0" w:firstLineChars="0"/>
              <w:rPr>
                <w:rFonts w:ascii="Times New Roman" w:hAnsi="Times New Roman" w:eastAsia="仿宋_GB2312" w:cstheme="minorBidi"/>
                <w:color w:val="auto"/>
                <w:kern w:val="0"/>
                <w:sz w:val="21"/>
                <w:szCs w:val="18"/>
                <w:lang w:val="en-US" w:eastAsia="zh-CN" w:bidi="ar-SA"/>
              </w:rPr>
            </w:pPr>
            <w:r>
              <w:rPr>
                <w:color w:val="auto"/>
              </w:rPr>
              <w:t>撒播草籽</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firstLine="0" w:firstLineChars="0"/>
              <w:rPr>
                <w:rFonts w:ascii="Times New Roman" w:hAnsi="Times New Roman" w:eastAsia="仿宋_GB2312" w:cstheme="minorBidi"/>
                <w:color w:val="auto"/>
                <w:kern w:val="0"/>
                <w:sz w:val="21"/>
                <w:szCs w:val="18"/>
                <w:lang w:val="en-US" w:eastAsia="zh-CN" w:bidi="ar-SA"/>
              </w:rPr>
            </w:pPr>
            <w:r>
              <w:rPr>
                <w:color w:val="auto"/>
              </w:rPr>
              <w:t>kg</w:t>
            </w:r>
          </w:p>
        </w:tc>
        <w:tc>
          <w:tcPr>
            <w:tcW w:w="1016"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40.5</w:t>
            </w:r>
          </w:p>
        </w:tc>
        <w:tc>
          <w:tcPr>
            <w:tcW w:w="103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60</w:t>
            </w:r>
          </w:p>
        </w:tc>
        <w:tc>
          <w:tcPr>
            <w:tcW w:w="71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+19.5</w:t>
            </w: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2019.10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其他临时占地区</w:t>
            </w:r>
          </w:p>
        </w:tc>
        <w:tc>
          <w:tcPr>
            <w:tcW w:w="86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工程措施</w:t>
            </w: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土地整治</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hm</w:t>
            </w:r>
            <w:r>
              <w:rPr>
                <w:color w:val="auto"/>
                <w:vertAlign w:val="superscript"/>
              </w:rPr>
              <w:t>2</w:t>
            </w:r>
          </w:p>
        </w:tc>
        <w:tc>
          <w:tcPr>
            <w:tcW w:w="1016"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0.11</w:t>
            </w:r>
          </w:p>
        </w:tc>
        <w:tc>
          <w:tcPr>
            <w:tcW w:w="103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0.11</w:t>
            </w:r>
          </w:p>
        </w:tc>
        <w:tc>
          <w:tcPr>
            <w:tcW w:w="711"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2019.10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临时措施</w:t>
            </w: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铺设棕垫</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m</w:t>
            </w:r>
            <w:r>
              <w:rPr>
                <w:color w:val="auto"/>
                <w:vertAlign w:val="superscript"/>
              </w:rPr>
              <w:t>2</w:t>
            </w:r>
          </w:p>
        </w:tc>
        <w:tc>
          <w:tcPr>
            <w:tcW w:w="1016"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500</w:t>
            </w:r>
          </w:p>
        </w:tc>
        <w:tc>
          <w:tcPr>
            <w:tcW w:w="103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w:t>
            </w:r>
          </w:p>
        </w:tc>
        <w:tc>
          <w:tcPr>
            <w:tcW w:w="71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-500</w:t>
            </w: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根据实际施工情况取消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植物措施</w:t>
            </w: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绿化</w:t>
            </w:r>
            <w:r>
              <w:rPr>
                <w:rFonts w:hint="eastAsia"/>
                <w:color w:val="auto"/>
              </w:rPr>
              <w:t>面积</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hm</w:t>
            </w:r>
            <w:r>
              <w:rPr>
                <w:color w:val="auto"/>
                <w:vertAlign w:val="superscript"/>
              </w:rPr>
              <w:t>2</w:t>
            </w:r>
          </w:p>
        </w:tc>
        <w:tc>
          <w:tcPr>
            <w:tcW w:w="1016"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0.11</w:t>
            </w:r>
          </w:p>
        </w:tc>
        <w:tc>
          <w:tcPr>
            <w:tcW w:w="103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0.11</w:t>
            </w:r>
          </w:p>
        </w:tc>
        <w:tc>
          <w:tcPr>
            <w:tcW w:w="711"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73" w:type="dxa"/>
            <w:vMerge w:val="restart"/>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2019.10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撒播草籽</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kg</w:t>
            </w:r>
          </w:p>
        </w:tc>
        <w:tc>
          <w:tcPr>
            <w:tcW w:w="1016"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5.5</w:t>
            </w:r>
          </w:p>
        </w:tc>
        <w:tc>
          <w:tcPr>
            <w:tcW w:w="103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10</w:t>
            </w:r>
          </w:p>
        </w:tc>
        <w:tc>
          <w:tcPr>
            <w:tcW w:w="71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+4.5</w:t>
            </w:r>
          </w:p>
        </w:tc>
        <w:tc>
          <w:tcPr>
            <w:tcW w:w="1173"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人抬道路区</w:t>
            </w:r>
          </w:p>
        </w:tc>
        <w:tc>
          <w:tcPr>
            <w:tcW w:w="86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工程措施</w:t>
            </w: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土地整治</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hm</w:t>
            </w:r>
            <w:r>
              <w:rPr>
                <w:color w:val="auto"/>
                <w:vertAlign w:val="superscript"/>
              </w:rPr>
              <w:t>2</w:t>
            </w:r>
          </w:p>
        </w:tc>
        <w:tc>
          <w:tcPr>
            <w:tcW w:w="1016"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0.70</w:t>
            </w:r>
          </w:p>
        </w:tc>
        <w:tc>
          <w:tcPr>
            <w:tcW w:w="103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0.70</w:t>
            </w:r>
          </w:p>
        </w:tc>
        <w:tc>
          <w:tcPr>
            <w:tcW w:w="711"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2019.10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植物措施</w:t>
            </w: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绿化</w:t>
            </w:r>
            <w:r>
              <w:rPr>
                <w:rFonts w:hint="eastAsia"/>
                <w:color w:val="auto"/>
              </w:rPr>
              <w:t>面积</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hm</w:t>
            </w:r>
            <w:r>
              <w:rPr>
                <w:color w:val="auto"/>
                <w:vertAlign w:val="superscript"/>
              </w:rPr>
              <w:t>2</w:t>
            </w:r>
          </w:p>
        </w:tc>
        <w:tc>
          <w:tcPr>
            <w:tcW w:w="1016"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0.70</w:t>
            </w:r>
          </w:p>
        </w:tc>
        <w:tc>
          <w:tcPr>
            <w:tcW w:w="103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0.64</w:t>
            </w:r>
          </w:p>
        </w:tc>
        <w:tc>
          <w:tcPr>
            <w:tcW w:w="71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-0.06</w:t>
            </w:r>
          </w:p>
        </w:tc>
        <w:tc>
          <w:tcPr>
            <w:tcW w:w="1173" w:type="dxa"/>
            <w:vMerge w:val="restart"/>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2019.10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撒播草籽</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kg</w:t>
            </w:r>
          </w:p>
        </w:tc>
        <w:tc>
          <w:tcPr>
            <w:tcW w:w="1016"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35</w:t>
            </w:r>
          </w:p>
        </w:tc>
        <w:tc>
          <w:tcPr>
            <w:tcW w:w="1037"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55</w:t>
            </w:r>
          </w:p>
        </w:tc>
        <w:tc>
          <w:tcPr>
            <w:tcW w:w="71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+20</w:t>
            </w:r>
          </w:p>
        </w:tc>
        <w:tc>
          <w:tcPr>
            <w:tcW w:w="1173"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r>
    </w:tbl>
    <w:p>
      <w:pPr>
        <w:spacing w:before="120"/>
        <w:ind w:firstLine="480"/>
      </w:pPr>
      <w:r>
        <w:t>根据现场实际，线路工程区</w:t>
      </w:r>
      <w:r>
        <w:rPr>
          <w:rFonts w:hint="eastAsia"/>
          <w:lang w:val="en-US" w:eastAsia="zh-CN"/>
        </w:rPr>
        <w:t>部分区域措施取消，各分区</w:t>
      </w:r>
      <w:r>
        <w:t>采取的水土保持措施及工程量较水土保持方案稍有增加，增加原因主要是因为工程实际施工过程中，为</w:t>
      </w:r>
      <w:r>
        <w:rPr>
          <w:rFonts w:hint="eastAsia"/>
          <w:lang w:val="en-US" w:eastAsia="zh-CN"/>
        </w:rPr>
        <w:t>减少</w:t>
      </w:r>
      <w:r>
        <w:t>占地区域的水土流失，施工单位对部分水土保持措施进行了补强，导致措施工程量有少量增加。</w:t>
      </w:r>
    </w:p>
    <w:p>
      <w:pPr>
        <w:spacing w:before="120"/>
        <w:ind w:firstLine="480"/>
      </w:pPr>
      <w:r>
        <w:t>根据主体工程区内的水土保持措施实施情况及效果可知，本区内采取了工程措施、植物措施和临时措施三大措施相结合，防治措施体系完善、各项措施布置合理，工程措施运行正常，防治水土流失效果较好，实际完成的水土保持措施效果较水保方案中水土保持功能未降低。</w:t>
      </w:r>
    </w:p>
    <w:p>
      <w:pPr>
        <w:pStyle w:val="4"/>
        <w:spacing w:before="120"/>
      </w:pPr>
      <w:bookmarkStart w:id="80" w:name="_Toc484280803"/>
      <w:bookmarkStart w:id="81" w:name="_Toc515294470"/>
      <w:bookmarkStart w:id="82" w:name="_Toc489977020"/>
      <w:bookmarkStart w:id="83" w:name="_Toc496268064"/>
      <w:r>
        <w:t>水土保持设施工程量完成情况</w:t>
      </w:r>
      <w:bookmarkEnd w:id="80"/>
      <w:bookmarkEnd w:id="81"/>
      <w:bookmarkEnd w:id="82"/>
      <w:bookmarkEnd w:id="83"/>
    </w:p>
    <w:p>
      <w:pPr>
        <w:spacing w:before="120"/>
        <w:ind w:firstLine="480"/>
      </w:pPr>
      <w:r>
        <w:t>通过查阅项目</w:t>
      </w:r>
      <w:r>
        <w:rPr>
          <w:rFonts w:hint="eastAsia"/>
          <w:lang w:eastAsia="zh-CN"/>
        </w:rPr>
        <w:t>完工</w:t>
      </w:r>
      <w:r>
        <w:t>资料以及报告编制组的现场查勘情况、复核内业资料，</w:t>
      </w:r>
      <w:r>
        <w:rPr>
          <w:rFonts w:hint="eastAsia"/>
          <w:lang w:eastAsia="zh-CN"/>
        </w:rPr>
        <w:t>甘孜雅江柯拉35千伏输变电工程</w:t>
      </w:r>
      <w:r>
        <w:t>水土保持设施工程量情况见表3.5-3。</w:t>
      </w:r>
    </w:p>
    <w:p>
      <w:pPr>
        <w:pStyle w:val="16"/>
      </w:pPr>
      <w:r>
        <w:t>水土保持设施工程量完成情况表</w:t>
      </w:r>
    </w:p>
    <w:p>
      <w:pPr>
        <w:pStyle w:val="13"/>
      </w:pPr>
      <w:r>
        <w:t xml:space="preserve">表 </w:t>
      </w:r>
      <w:r>
        <w:fldChar w:fldCharType="begin"/>
      </w:r>
      <w:r>
        <w:instrText xml:space="preserve"> STYLEREF 2 \s </w:instrText>
      </w:r>
      <w:r>
        <w:fldChar w:fldCharType="separate"/>
      </w:r>
      <w:r>
        <w:t>3.5</w:t>
      </w:r>
      <w:r>
        <w:fldChar w:fldCharType="end"/>
      </w:r>
      <w:r>
        <w:noBreakHyphen/>
      </w:r>
      <w:r>
        <w:fldChar w:fldCharType="begin"/>
      </w:r>
      <w:r>
        <w:instrText xml:space="preserve"> SEQ 表 \* ARABIC \s 2 </w:instrText>
      </w:r>
      <w:r>
        <w:fldChar w:fldCharType="separate"/>
      </w:r>
      <w:r>
        <w:t>3</w:t>
      </w:r>
      <w:r>
        <w:fldChar w:fldCharType="end"/>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1" w:type="dxa"/>
          <w:bottom w:w="0" w:type="dxa"/>
          <w:right w:w="11" w:type="dxa"/>
        </w:tblCellMar>
      </w:tblPr>
      <w:tblGrid>
        <w:gridCol w:w="685"/>
        <w:gridCol w:w="1028"/>
        <w:gridCol w:w="869"/>
        <w:gridCol w:w="1123"/>
        <w:gridCol w:w="686"/>
        <w:gridCol w:w="984"/>
        <w:gridCol w:w="32"/>
        <w:gridCol w:w="1004"/>
        <w:gridCol w:w="744"/>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1" w:type="dxa"/>
            <w:bottom w:w="0" w:type="dxa"/>
            <w:right w:w="11" w:type="dxa"/>
          </w:tblCellMar>
        </w:tblPrEx>
        <w:trPr>
          <w:trHeight w:val="340" w:hRule="atLeast"/>
          <w:tblHeader/>
        </w:trPr>
        <w:tc>
          <w:tcPr>
            <w:tcW w:w="17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防治分区</w:t>
            </w:r>
          </w:p>
        </w:tc>
        <w:tc>
          <w:tcPr>
            <w:tcW w:w="86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措施类型</w:t>
            </w: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措施名称</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单位</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设计量</w:t>
            </w:r>
          </w:p>
        </w:tc>
        <w:tc>
          <w:tcPr>
            <w:tcW w:w="1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实施量</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对比</w:t>
            </w: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实施时间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变电站工程区</w:t>
            </w:r>
          </w:p>
        </w:tc>
        <w:tc>
          <w:tcPr>
            <w:tcW w:w="10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35KV</w:t>
            </w:r>
            <w:r>
              <w:rPr>
                <w:rFonts w:hint="eastAsia" w:ascii="Times New Roman" w:hAnsi="Times New Roman" w:eastAsia="仿宋_GB2312" w:cs="仿宋_GB2312"/>
                <w:snapToGrid/>
                <w:color w:val="auto"/>
                <w:kern w:val="2"/>
                <w:sz w:val="21"/>
                <w:szCs w:val="18"/>
                <w:lang w:val="en-US" w:eastAsia="zh-CN" w:bidi="ar"/>
              </w:rPr>
              <w:t>变电站区</w:t>
            </w:r>
          </w:p>
        </w:tc>
        <w:tc>
          <w:tcPr>
            <w:tcW w:w="869" w:type="dxa"/>
            <w:vMerge w:val="restart"/>
            <w:tcBorders>
              <w:top w:val="single" w:color="auto" w:sz="4" w:space="0"/>
              <w:left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工程措施</w:t>
            </w: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截水沟</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m</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color w:val="auto"/>
                <w:kern w:val="2"/>
                <w:sz w:val="21"/>
                <w:szCs w:val="21"/>
                <w:lang w:val="en-US"/>
              </w:rPr>
            </w:pPr>
            <w:r>
              <w:rPr>
                <w:rFonts w:hint="eastAsia" w:cs="Times New Roman"/>
                <w:snapToGrid/>
                <w:color w:val="auto"/>
                <w:kern w:val="2"/>
                <w:sz w:val="21"/>
                <w:szCs w:val="21"/>
                <w:lang w:val="en-US" w:eastAsia="zh-CN" w:bidi="ar"/>
              </w:rPr>
              <w:t>121.8</w:t>
            </w:r>
          </w:p>
        </w:tc>
        <w:tc>
          <w:tcPr>
            <w:tcW w:w="1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125</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+3.2</w:t>
            </w: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color w:val="auto"/>
                <w:kern w:val="2"/>
                <w:sz w:val="21"/>
                <w:szCs w:val="21"/>
                <w:lang w:val="en-US"/>
              </w:rPr>
            </w:pPr>
            <w:r>
              <w:rPr>
                <w:rFonts w:hint="default" w:ascii="Times New Roman" w:hAnsi="Times New Roman" w:eastAsia="仿宋_GB2312" w:cs="Times New Roman"/>
                <w:snapToGrid/>
                <w:color w:val="auto"/>
                <w:kern w:val="2"/>
                <w:sz w:val="21"/>
                <w:szCs w:val="21"/>
                <w:lang w:val="en-US" w:eastAsia="zh-CN" w:bidi="ar"/>
              </w:rPr>
              <w:t>2019.</w:t>
            </w:r>
            <w:r>
              <w:rPr>
                <w:rFonts w:hint="eastAsia" w:cs="Times New Roman"/>
                <w:snapToGrid/>
                <w:color w:val="auto"/>
                <w:kern w:val="2"/>
                <w:sz w:val="21"/>
                <w:szCs w:val="21"/>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排水管</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m</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sz w:val="21"/>
                <w:szCs w:val="21"/>
                <w:lang w:val="en-US"/>
              </w:rPr>
            </w:pPr>
            <w:r>
              <w:rPr>
                <w:rFonts w:hint="eastAsia" w:cs="Times New Roman"/>
                <w:snapToGrid/>
                <w:color w:val="auto"/>
                <w:kern w:val="2"/>
                <w:sz w:val="21"/>
                <w:szCs w:val="21"/>
                <w:lang w:val="en-US" w:eastAsia="zh-CN" w:bidi="ar"/>
              </w:rPr>
              <w:t>10</w:t>
            </w:r>
            <w:r>
              <w:rPr>
                <w:rFonts w:hint="default" w:ascii="Times New Roman" w:hAnsi="Times New Roman" w:eastAsia="仿宋_GB2312" w:cs="Times New Roman"/>
                <w:snapToGrid/>
                <w:color w:val="auto"/>
                <w:kern w:val="2"/>
                <w:sz w:val="21"/>
                <w:szCs w:val="21"/>
                <w:lang w:val="en-US" w:eastAsia="zh-CN" w:bidi="ar"/>
              </w:rPr>
              <w:t>0</w:t>
            </w:r>
          </w:p>
        </w:tc>
        <w:tc>
          <w:tcPr>
            <w:tcW w:w="1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105</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+5</w:t>
            </w: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color w:val="auto"/>
                <w:kern w:val="2"/>
                <w:sz w:val="21"/>
                <w:szCs w:val="21"/>
                <w:lang w:val="en-US"/>
              </w:rPr>
            </w:pPr>
            <w:r>
              <w:rPr>
                <w:rFonts w:hint="default" w:ascii="Times New Roman" w:hAnsi="Times New Roman" w:eastAsia="仿宋_GB2312" w:cs="Times New Roman"/>
                <w:snapToGrid/>
                <w:color w:val="auto"/>
                <w:kern w:val="2"/>
                <w:sz w:val="21"/>
                <w:szCs w:val="21"/>
                <w:lang w:val="en-US" w:eastAsia="zh-CN" w:bidi="ar"/>
              </w:rPr>
              <w:t>2019.</w:t>
            </w:r>
            <w:r>
              <w:rPr>
                <w:rFonts w:hint="eastAsia" w:cs="Times New Roman"/>
                <w:snapToGrid/>
                <w:color w:val="auto"/>
                <w:kern w:val="2"/>
                <w:sz w:val="21"/>
                <w:szCs w:val="21"/>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ascii="Times New Roman" w:hAnsi="Times New Roman" w:eastAsia="仿宋_GB2312" w:cs="仿宋_GB2312"/>
                <w:snapToGrid/>
                <w:color w:val="auto"/>
                <w:kern w:val="2"/>
                <w:sz w:val="21"/>
                <w:szCs w:val="18"/>
                <w:lang w:val="en-US" w:eastAsia="zh-CN" w:bidi="ar"/>
              </w:rPr>
            </w:pPr>
            <w:r>
              <w:rPr>
                <w:rFonts w:hint="eastAsia" w:cs="仿宋_GB2312"/>
                <w:snapToGrid/>
                <w:color w:val="auto"/>
                <w:kern w:val="2"/>
                <w:sz w:val="21"/>
                <w:szCs w:val="18"/>
                <w:lang w:val="en-US" w:eastAsia="zh-CN" w:bidi="ar"/>
              </w:rPr>
              <w:t>铺设碎石</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ascii="Times New Roman" w:hAnsi="Times New Roman" w:eastAsia="仿宋_GB2312" w:cs="Times New Roman"/>
                <w:snapToGrid/>
                <w:color w:val="auto"/>
                <w:kern w:val="2"/>
                <w:sz w:val="21"/>
                <w:szCs w:val="18"/>
                <w:lang w:val="en-US" w:eastAsia="zh-CN" w:bidi="ar"/>
              </w:rPr>
            </w:pPr>
            <w:r>
              <w:rPr>
                <w:rFonts w:hint="eastAsia" w:cs="Times New Roman"/>
                <w:snapToGrid/>
                <w:color w:val="auto"/>
                <w:kern w:val="2"/>
                <w:sz w:val="21"/>
                <w:szCs w:val="18"/>
                <w:lang w:val="en-US" w:eastAsia="zh-CN" w:bidi="ar"/>
              </w:rPr>
              <w:t>m</w:t>
            </w:r>
            <w:r>
              <w:rPr>
                <w:rFonts w:hint="eastAsia" w:cs="Times New Roman"/>
                <w:snapToGrid/>
                <w:color w:val="auto"/>
                <w:kern w:val="2"/>
                <w:sz w:val="21"/>
                <w:szCs w:val="18"/>
                <w:vertAlign w:val="superscript"/>
                <w:lang w:val="en-US" w:eastAsia="zh-CN" w:bidi="ar"/>
              </w:rPr>
              <w:t>2</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cs="Times New Roman"/>
                <w:snapToGrid/>
                <w:color w:val="auto"/>
                <w:kern w:val="2"/>
                <w:sz w:val="21"/>
                <w:szCs w:val="21"/>
                <w:lang w:val="en-US" w:eastAsia="zh-CN" w:bidi="ar"/>
              </w:rPr>
            </w:pPr>
            <w:r>
              <w:rPr>
                <w:rFonts w:hint="eastAsia" w:cs="Times New Roman"/>
                <w:snapToGrid/>
                <w:color w:val="auto"/>
                <w:kern w:val="2"/>
                <w:sz w:val="21"/>
                <w:szCs w:val="21"/>
                <w:lang w:val="en-US" w:eastAsia="zh-CN" w:bidi="ar"/>
              </w:rPr>
              <w:t>248</w:t>
            </w:r>
          </w:p>
        </w:tc>
        <w:tc>
          <w:tcPr>
            <w:tcW w:w="1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ascii="Times New Roman" w:hAnsi="Times New Roman" w:eastAsia="仿宋_GB2312" w:cs="Times New Roman"/>
                <w:snapToGrid/>
                <w:color w:val="auto"/>
                <w:kern w:val="2"/>
                <w:sz w:val="21"/>
                <w:szCs w:val="21"/>
                <w:lang w:val="en-US" w:eastAsia="zh-CN" w:bidi="ar"/>
              </w:rPr>
            </w:pPr>
            <w:r>
              <w:rPr>
                <w:rFonts w:hint="eastAsia" w:cs="Times New Roman"/>
                <w:snapToGrid/>
                <w:color w:val="auto"/>
                <w:kern w:val="2"/>
                <w:sz w:val="21"/>
                <w:szCs w:val="21"/>
                <w:lang w:val="en-US" w:eastAsia="zh-CN" w:bidi="ar"/>
              </w:rPr>
              <w:t>248</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ascii="Times New Roman" w:hAnsi="Times New Roman" w:eastAsia="仿宋_GB2312" w:cs="Times New Roman"/>
                <w:snapToGrid/>
                <w:color w:val="auto"/>
                <w:kern w:val="2"/>
                <w:sz w:val="21"/>
                <w:szCs w:val="21"/>
                <w:lang w:val="en-US" w:eastAsia="zh-CN" w:bidi="ar"/>
              </w:rPr>
            </w:pP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hint="default" w:ascii="Times New Roman" w:hAnsi="Times New Roman" w:eastAsia="仿宋_GB2312" w:cs="Times New Roman"/>
                <w:snapToGrid/>
                <w:color w:val="auto"/>
                <w:kern w:val="2"/>
                <w:sz w:val="21"/>
                <w:szCs w:val="21"/>
                <w:lang w:val="en-US" w:eastAsia="zh-CN" w:bidi="ar"/>
              </w:rPr>
            </w:pPr>
            <w:r>
              <w:rPr>
                <w:rFonts w:hint="default" w:ascii="Times New Roman" w:hAnsi="Times New Roman" w:eastAsia="仿宋_GB2312" w:cs="Times New Roman"/>
                <w:snapToGrid/>
                <w:color w:val="auto"/>
                <w:kern w:val="2"/>
                <w:sz w:val="21"/>
                <w:szCs w:val="21"/>
                <w:lang w:val="en-US" w:eastAsia="zh-CN" w:bidi="ar"/>
              </w:rPr>
              <w:t>2019.</w:t>
            </w:r>
            <w:r>
              <w:rPr>
                <w:rFonts w:hint="eastAsia" w:cs="Times New Roman"/>
                <w:snapToGrid/>
                <w:color w:val="auto"/>
                <w:kern w:val="2"/>
                <w:sz w:val="21"/>
                <w:szCs w:val="21"/>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临时措施</w:t>
            </w: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临时排水沟</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m</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80</w:t>
            </w:r>
          </w:p>
        </w:tc>
        <w:tc>
          <w:tcPr>
            <w:tcW w:w="1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85</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+5</w:t>
            </w: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color w:val="auto"/>
                <w:kern w:val="2"/>
                <w:sz w:val="21"/>
                <w:szCs w:val="21"/>
                <w:lang w:val="en-US"/>
              </w:rPr>
            </w:pPr>
            <w:r>
              <w:rPr>
                <w:rFonts w:hint="default" w:ascii="Times New Roman" w:hAnsi="Times New Roman" w:eastAsia="仿宋_GB2312" w:cs="Times New Roman"/>
                <w:snapToGrid/>
                <w:color w:val="auto"/>
                <w:kern w:val="2"/>
                <w:sz w:val="21"/>
                <w:szCs w:val="21"/>
                <w:lang w:val="en-US" w:eastAsia="zh-CN" w:bidi="ar"/>
              </w:rPr>
              <w:t>2019.6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沉沙凼</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座</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1</w:t>
            </w:r>
          </w:p>
        </w:tc>
        <w:tc>
          <w:tcPr>
            <w:tcW w:w="1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-1</w:t>
            </w: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施工场地区</w:t>
            </w:r>
          </w:p>
        </w:tc>
        <w:tc>
          <w:tcPr>
            <w:tcW w:w="86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工程措施</w:t>
            </w: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土地整治</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hm</w:t>
            </w:r>
            <w:r>
              <w:rPr>
                <w:rFonts w:hint="default" w:ascii="Times New Roman" w:hAnsi="Times New Roman" w:eastAsia="仿宋_GB2312" w:cs="Times New Roman"/>
                <w:snapToGrid/>
                <w:color w:val="auto"/>
                <w:kern w:val="2"/>
                <w:sz w:val="21"/>
                <w:szCs w:val="18"/>
                <w:vertAlign w:val="superscript"/>
                <w:lang w:val="en-US" w:eastAsia="zh-CN" w:bidi="ar"/>
              </w:rPr>
              <w:t>2</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0.02</w:t>
            </w:r>
          </w:p>
        </w:tc>
        <w:tc>
          <w:tcPr>
            <w:tcW w:w="1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0.02</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sz w:val="21"/>
                <w:szCs w:val="21"/>
                <w:lang w:val="en-US"/>
              </w:rPr>
            </w:pP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sz w:val="21"/>
                <w:szCs w:val="21"/>
                <w:lang w:val="en-US"/>
              </w:rPr>
            </w:pPr>
            <w:r>
              <w:rPr>
                <w:rFonts w:hint="default"/>
                <w:color w:val="auto"/>
                <w:kern w:val="2"/>
                <w:sz w:val="21"/>
                <w:szCs w:val="21"/>
                <w:lang w:val="en-US" w:eastAsia="zh-CN"/>
              </w:rPr>
              <w:t>2019.10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临时措施</w:t>
            </w: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临时排水沟</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m</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40</w:t>
            </w:r>
          </w:p>
        </w:tc>
        <w:tc>
          <w:tcPr>
            <w:tcW w:w="1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50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+10</w:t>
            </w: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sz w:val="21"/>
                <w:szCs w:val="21"/>
                <w:lang w:val="en-US"/>
              </w:rPr>
            </w:pPr>
            <w:r>
              <w:rPr>
                <w:rFonts w:hint="default" w:ascii="Times New Roman" w:hAnsi="Times New Roman" w:eastAsia="仿宋_GB2312" w:cs="Times New Roman"/>
                <w:kern w:val="2"/>
                <w:sz w:val="21"/>
                <w:szCs w:val="21"/>
                <w:lang w:val="en-US" w:eastAsia="zh-CN" w:bidi="ar"/>
              </w:rPr>
              <w:t>2019.6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沉沙凼</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座</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1</w:t>
            </w:r>
          </w:p>
        </w:tc>
        <w:tc>
          <w:tcPr>
            <w:tcW w:w="1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-1</w:t>
            </w: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防雨布</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m</w:t>
            </w:r>
            <w:r>
              <w:rPr>
                <w:rFonts w:hint="default" w:ascii="Times New Roman" w:hAnsi="Times New Roman" w:eastAsia="仿宋_GB2312" w:cs="Times New Roman"/>
                <w:snapToGrid/>
                <w:color w:val="auto"/>
                <w:kern w:val="2"/>
                <w:sz w:val="21"/>
                <w:szCs w:val="18"/>
                <w:vertAlign w:val="superscript"/>
                <w:lang w:val="en-US" w:eastAsia="zh-CN" w:bidi="ar"/>
              </w:rPr>
              <w:t>2</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80</w:t>
            </w:r>
          </w:p>
        </w:tc>
        <w:tc>
          <w:tcPr>
            <w:tcW w:w="1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350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+270</w:t>
            </w: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color w:val="auto"/>
                <w:kern w:val="2"/>
                <w:sz w:val="21"/>
                <w:szCs w:val="21"/>
                <w:lang w:val="en-US" w:eastAsia="zh-CN"/>
              </w:rPr>
            </w:pPr>
            <w:r>
              <w:rPr>
                <w:rFonts w:hint="default"/>
                <w:color w:val="auto"/>
                <w:kern w:val="2"/>
                <w:sz w:val="21"/>
                <w:szCs w:val="21"/>
                <w:lang w:val="en-US" w:eastAsia="zh-CN"/>
              </w:rPr>
              <w:t>2019.</w:t>
            </w:r>
            <w:r>
              <w:rPr>
                <w:rFonts w:hint="eastAsia"/>
                <w:color w:val="auto"/>
                <w:kern w:val="2"/>
                <w:sz w:val="21"/>
                <w:szCs w:val="21"/>
                <w:lang w:val="en-US" w:eastAsia="zh-CN"/>
              </w:rPr>
              <w:t>5</w:t>
            </w:r>
            <w:r>
              <w:rPr>
                <w:rFonts w:hint="default"/>
                <w:color w:val="auto"/>
                <w:kern w:val="2"/>
                <w:sz w:val="21"/>
                <w:szCs w:val="21"/>
                <w:lang w:val="en-US" w:eastAsia="zh-CN"/>
              </w:rPr>
              <w:t>~</w:t>
            </w:r>
          </w:p>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color w:val="auto"/>
                <w:kern w:val="2"/>
                <w:sz w:val="21"/>
                <w:szCs w:val="21"/>
                <w:lang w:val="en-US" w:eastAsia="zh-CN"/>
              </w:rPr>
            </w:pPr>
            <w:r>
              <w:rPr>
                <w:rFonts w:hint="default"/>
                <w:color w:val="auto"/>
                <w:kern w:val="2"/>
                <w:sz w:val="21"/>
                <w:szCs w:val="21"/>
                <w:lang w:val="en-US" w:eastAsia="zh-CN"/>
              </w:rPr>
              <w:t>2019.9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植物措施</w:t>
            </w: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绿化面积</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hm</w:t>
            </w:r>
            <w:r>
              <w:rPr>
                <w:rFonts w:hint="default" w:ascii="Times New Roman" w:hAnsi="Times New Roman" w:eastAsia="仿宋_GB2312" w:cs="Times New Roman"/>
                <w:snapToGrid/>
                <w:color w:val="auto"/>
                <w:kern w:val="2"/>
                <w:sz w:val="21"/>
                <w:szCs w:val="18"/>
                <w:vertAlign w:val="superscript"/>
                <w:lang w:val="en-US" w:eastAsia="zh-CN" w:bidi="ar"/>
              </w:rPr>
              <w:t>2</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0.02</w:t>
            </w:r>
          </w:p>
        </w:tc>
        <w:tc>
          <w:tcPr>
            <w:tcW w:w="1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0.02</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sz w:val="21"/>
                <w:szCs w:val="21"/>
                <w:lang w:val="en-US"/>
              </w:rPr>
            </w:pP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color w:val="auto"/>
                <w:kern w:val="2"/>
                <w:sz w:val="21"/>
                <w:szCs w:val="21"/>
                <w:lang w:val="en-US"/>
              </w:rPr>
            </w:pPr>
            <w:r>
              <w:rPr>
                <w:rFonts w:hint="default" w:ascii="Times New Roman" w:hAnsi="Times New Roman" w:eastAsia="仿宋_GB2312" w:cs="Times New Roman"/>
                <w:snapToGrid/>
                <w:color w:val="auto"/>
                <w:kern w:val="2"/>
                <w:sz w:val="21"/>
                <w:szCs w:val="21"/>
                <w:lang w:val="en-US" w:eastAsia="zh-CN" w:bidi="ar"/>
              </w:rPr>
              <w:t>2019.</w:t>
            </w:r>
            <w:r>
              <w:rPr>
                <w:rFonts w:hint="eastAsia" w:cs="Times New Roman"/>
                <w:snapToGrid/>
                <w:color w:val="auto"/>
                <w:kern w:val="2"/>
                <w:sz w:val="21"/>
                <w:szCs w:val="21"/>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撒播草籽</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kg</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1</w:t>
            </w:r>
          </w:p>
        </w:tc>
        <w:tc>
          <w:tcPr>
            <w:tcW w:w="1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3</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+2</w:t>
            </w:r>
          </w:p>
        </w:tc>
        <w:tc>
          <w:tcPr>
            <w:tcW w:w="11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color w:val="auto"/>
                <w:kern w:val="2"/>
                <w:sz w:val="21"/>
                <w:szCs w:val="21"/>
                <w:lang w:val="en-US"/>
              </w:rPr>
            </w:pPr>
            <w:r>
              <w:rPr>
                <w:rFonts w:hint="default" w:ascii="Times New Roman" w:hAnsi="Times New Roman" w:eastAsia="仿宋_GB2312" w:cs="Times New Roman"/>
                <w:snapToGrid/>
                <w:color w:val="auto"/>
                <w:kern w:val="2"/>
                <w:sz w:val="21"/>
                <w:szCs w:val="21"/>
                <w:lang w:val="en-US" w:eastAsia="zh-CN" w:bidi="ar"/>
              </w:rPr>
              <w:t>20</w:t>
            </w:r>
            <w:r>
              <w:rPr>
                <w:rFonts w:hint="eastAsia" w:cs="Times New Roman"/>
                <w:snapToGrid/>
                <w:color w:val="auto"/>
                <w:kern w:val="2"/>
                <w:sz w:val="21"/>
                <w:szCs w:val="21"/>
                <w:lang w:val="en-US" w:eastAsia="zh-CN" w:bidi="ar"/>
              </w:rPr>
              <w:t>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弃土点区</w:t>
            </w:r>
          </w:p>
        </w:tc>
        <w:tc>
          <w:tcPr>
            <w:tcW w:w="869" w:type="dxa"/>
            <w:vMerge w:val="restart"/>
            <w:tcBorders>
              <w:top w:val="single" w:color="auto" w:sz="4" w:space="0"/>
              <w:left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工程措施</w:t>
            </w: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土地整治</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hm</w:t>
            </w:r>
            <w:r>
              <w:rPr>
                <w:rFonts w:hint="default" w:ascii="Times New Roman" w:hAnsi="Times New Roman" w:eastAsia="仿宋_GB2312" w:cs="Times New Roman"/>
                <w:snapToGrid/>
                <w:color w:val="auto"/>
                <w:kern w:val="2"/>
                <w:sz w:val="21"/>
                <w:szCs w:val="18"/>
                <w:vertAlign w:val="superscript"/>
                <w:lang w:val="en-US" w:eastAsia="zh-CN" w:bidi="ar"/>
              </w:rPr>
              <w:t>2</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0.04</w:t>
            </w:r>
          </w:p>
        </w:tc>
        <w:tc>
          <w:tcPr>
            <w:tcW w:w="1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-0.04</w:t>
            </w:r>
          </w:p>
        </w:tc>
        <w:tc>
          <w:tcPr>
            <w:tcW w:w="11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sz w:val="21"/>
                <w:szCs w:val="21"/>
                <w:lang w:val="en-US"/>
              </w:rPr>
            </w:pPr>
            <w:r>
              <w:rPr>
                <w:rFonts w:hint="eastAsia" w:ascii="Times New Roman" w:hAnsi="Times New Roman" w:eastAsia="仿宋_GB2312" w:cs="仿宋_GB2312"/>
                <w:snapToGrid/>
                <w:color w:val="auto"/>
                <w:kern w:val="2"/>
                <w:sz w:val="21"/>
                <w:szCs w:val="21"/>
                <w:lang w:val="en-US" w:eastAsia="zh-CN" w:bidi="ar"/>
              </w:rPr>
              <w:t>实际施工中弃土点区取消，相应措施不再实施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left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ascii="Times New Roman" w:hAnsi="Times New Roman" w:eastAsia="仿宋_GB2312" w:cs="仿宋_GB2312"/>
                <w:snapToGrid/>
                <w:color w:val="auto"/>
                <w:kern w:val="2"/>
                <w:sz w:val="21"/>
                <w:szCs w:val="18"/>
                <w:lang w:val="en-US" w:eastAsia="zh-CN" w:bidi="ar"/>
              </w:rPr>
            </w:pPr>
          </w:p>
        </w:tc>
        <w:tc>
          <w:tcPr>
            <w:tcW w:w="869" w:type="dxa"/>
            <w:vMerge w:val="continue"/>
            <w:tcBorders>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ascii="Times New Roman" w:hAnsi="Times New Roman" w:eastAsia="仿宋_GB2312" w:cs="仿宋_GB2312"/>
                <w:snapToGrid/>
                <w:color w:val="auto"/>
                <w:kern w:val="2"/>
                <w:sz w:val="21"/>
                <w:szCs w:val="18"/>
                <w:lang w:val="en-US" w:eastAsia="zh-CN" w:bidi="ar"/>
              </w:rPr>
            </w:pP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ascii="Times New Roman" w:hAnsi="Times New Roman" w:eastAsia="仿宋_GB2312" w:cs="仿宋_GB2312"/>
                <w:snapToGrid/>
                <w:color w:val="auto"/>
                <w:kern w:val="2"/>
                <w:sz w:val="21"/>
                <w:szCs w:val="18"/>
                <w:lang w:val="en-US" w:eastAsia="zh-CN" w:bidi="ar"/>
              </w:rPr>
            </w:pPr>
            <w:r>
              <w:rPr>
                <w:rFonts w:hint="eastAsia" w:cs="仿宋_GB2312"/>
                <w:snapToGrid/>
                <w:color w:val="auto"/>
                <w:kern w:val="2"/>
                <w:sz w:val="21"/>
                <w:szCs w:val="18"/>
                <w:lang w:val="en-US" w:eastAsia="zh-CN" w:bidi="ar"/>
              </w:rPr>
              <w:t>草袋挡护</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ascii="Times New Roman" w:hAnsi="Times New Roman" w:eastAsia="仿宋_GB2312" w:cs="Times New Roman"/>
                <w:snapToGrid/>
                <w:color w:val="auto"/>
                <w:kern w:val="2"/>
                <w:sz w:val="21"/>
                <w:szCs w:val="18"/>
                <w:lang w:val="en-US" w:eastAsia="zh-CN" w:bidi="ar"/>
              </w:rPr>
            </w:pPr>
            <w:r>
              <w:rPr>
                <w:rFonts w:hint="default" w:ascii="Times New Roman" w:hAnsi="Times New Roman" w:eastAsia="仿宋_GB2312" w:cs="Times New Roman"/>
                <w:snapToGrid/>
                <w:color w:val="auto"/>
                <w:kern w:val="2"/>
                <w:sz w:val="21"/>
                <w:szCs w:val="18"/>
                <w:lang w:val="en-US" w:eastAsia="zh-CN" w:bidi="ar"/>
              </w:rPr>
              <w:t>m</w:t>
            </w:r>
            <w:r>
              <w:rPr>
                <w:rFonts w:hint="default" w:ascii="Times New Roman" w:hAnsi="Times New Roman" w:eastAsia="仿宋_GB2312" w:cs="Times New Roman"/>
                <w:snapToGrid/>
                <w:color w:val="auto"/>
                <w:kern w:val="2"/>
                <w:sz w:val="21"/>
                <w:szCs w:val="18"/>
                <w:vertAlign w:val="superscript"/>
                <w:lang w:val="en-US" w:eastAsia="zh-CN" w:bidi="ar"/>
              </w:rPr>
              <w:t>3</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color w:val="auto"/>
                <w:kern w:val="2"/>
                <w:sz w:val="21"/>
                <w:szCs w:val="21"/>
                <w:lang w:val="en-US" w:eastAsia="zh-CN"/>
              </w:rPr>
            </w:pPr>
            <w:r>
              <w:rPr>
                <w:rFonts w:hint="eastAsia"/>
                <w:color w:val="auto"/>
                <w:kern w:val="2"/>
                <w:sz w:val="21"/>
                <w:szCs w:val="21"/>
                <w:lang w:val="en-US" w:eastAsia="zh-CN"/>
              </w:rPr>
              <w:t>33.6</w:t>
            </w:r>
          </w:p>
        </w:tc>
        <w:tc>
          <w:tcPr>
            <w:tcW w:w="1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-33.6</w:t>
            </w:r>
          </w:p>
        </w:tc>
        <w:tc>
          <w:tcPr>
            <w:tcW w:w="1173" w:type="dxa"/>
            <w:vMerge w:val="continue"/>
            <w:tcBorders>
              <w:left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ascii="Times New Roman" w:hAnsi="Times New Roman" w:eastAsia="仿宋_GB2312" w:cs="仿宋_GB2312"/>
                <w:snapToGrid/>
                <w:color w:val="auto"/>
                <w:kern w:val="2"/>
                <w:sz w:val="21"/>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临时措施</w:t>
            </w: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土袋挡护</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m</w:t>
            </w:r>
            <w:r>
              <w:rPr>
                <w:rFonts w:hint="default" w:ascii="Times New Roman" w:hAnsi="Times New Roman" w:eastAsia="仿宋_GB2312" w:cs="Times New Roman"/>
                <w:snapToGrid/>
                <w:color w:val="auto"/>
                <w:kern w:val="2"/>
                <w:sz w:val="21"/>
                <w:szCs w:val="18"/>
                <w:vertAlign w:val="superscript"/>
                <w:lang w:val="en-US" w:eastAsia="zh-CN" w:bidi="ar"/>
              </w:rPr>
              <w:t>3</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60</w:t>
            </w:r>
          </w:p>
        </w:tc>
        <w:tc>
          <w:tcPr>
            <w:tcW w:w="1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-60</w:t>
            </w:r>
          </w:p>
        </w:tc>
        <w:tc>
          <w:tcPr>
            <w:tcW w:w="11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continue"/>
            <w:tcBorders>
              <w:left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ascii="Times New Roman" w:hAnsi="Times New Roman" w:eastAsia="仿宋_GB2312" w:cs="仿宋_GB2312"/>
                <w:snapToGrid/>
                <w:color w:val="auto"/>
                <w:kern w:val="2"/>
                <w:sz w:val="21"/>
                <w:szCs w:val="18"/>
                <w:lang w:val="en-US" w:eastAsia="zh-CN" w:bidi="ar"/>
              </w:rPr>
            </w:pP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ascii="Times New Roman" w:hAnsi="Times New Roman" w:eastAsia="仿宋_GB2312" w:cs="仿宋_GB2312"/>
                <w:snapToGrid/>
                <w:color w:val="auto"/>
                <w:kern w:val="2"/>
                <w:sz w:val="21"/>
                <w:szCs w:val="18"/>
                <w:lang w:val="en-US" w:eastAsia="zh-CN" w:bidi="ar"/>
              </w:rPr>
            </w:pPr>
            <w:r>
              <w:rPr>
                <w:rFonts w:hint="eastAsia" w:cs="仿宋_GB2312"/>
                <w:snapToGrid/>
                <w:color w:val="auto"/>
                <w:kern w:val="2"/>
                <w:sz w:val="21"/>
                <w:szCs w:val="18"/>
                <w:lang w:val="en-US" w:eastAsia="zh-CN" w:bidi="ar"/>
              </w:rPr>
              <w:t>沉沙凼</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ascii="Times New Roman" w:hAnsi="Times New Roman" w:eastAsia="仿宋_GB2312" w:cs="Times New Roman"/>
                <w:snapToGrid/>
                <w:color w:val="auto"/>
                <w:kern w:val="2"/>
                <w:sz w:val="21"/>
                <w:szCs w:val="18"/>
                <w:lang w:val="en-US" w:eastAsia="zh-CN" w:bidi="ar"/>
              </w:rPr>
            </w:pPr>
            <w:r>
              <w:rPr>
                <w:rFonts w:hint="eastAsia" w:cs="Times New Roman"/>
                <w:snapToGrid/>
                <w:color w:val="auto"/>
                <w:kern w:val="2"/>
                <w:sz w:val="21"/>
                <w:szCs w:val="18"/>
                <w:lang w:val="en-US" w:eastAsia="zh-CN" w:bidi="ar"/>
              </w:rPr>
              <w:t>座</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color w:val="auto"/>
                <w:kern w:val="2"/>
                <w:sz w:val="21"/>
                <w:szCs w:val="21"/>
                <w:lang w:val="en-US" w:eastAsia="zh-CN"/>
              </w:rPr>
            </w:pPr>
            <w:r>
              <w:rPr>
                <w:rFonts w:hint="eastAsia"/>
                <w:color w:val="auto"/>
                <w:kern w:val="2"/>
                <w:sz w:val="21"/>
                <w:szCs w:val="21"/>
                <w:lang w:val="en-US" w:eastAsia="zh-CN"/>
              </w:rPr>
              <w:t>2</w:t>
            </w:r>
          </w:p>
        </w:tc>
        <w:tc>
          <w:tcPr>
            <w:tcW w:w="1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-2</w:t>
            </w:r>
          </w:p>
        </w:tc>
        <w:tc>
          <w:tcPr>
            <w:tcW w:w="11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防雨布</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m</w:t>
            </w:r>
            <w:r>
              <w:rPr>
                <w:rFonts w:hint="default" w:ascii="Times New Roman" w:hAnsi="Times New Roman" w:eastAsia="仿宋_GB2312" w:cs="Times New Roman"/>
                <w:snapToGrid/>
                <w:color w:val="auto"/>
                <w:kern w:val="2"/>
                <w:sz w:val="21"/>
                <w:szCs w:val="18"/>
                <w:vertAlign w:val="superscript"/>
                <w:lang w:val="en-US" w:eastAsia="zh-CN" w:bidi="ar"/>
              </w:rPr>
              <w:t>2</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400</w:t>
            </w:r>
          </w:p>
        </w:tc>
        <w:tc>
          <w:tcPr>
            <w:tcW w:w="1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-400</w:t>
            </w:r>
          </w:p>
        </w:tc>
        <w:tc>
          <w:tcPr>
            <w:tcW w:w="11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植物措施</w:t>
            </w: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绿化面积</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hm</w:t>
            </w:r>
            <w:r>
              <w:rPr>
                <w:rFonts w:hint="default" w:ascii="Times New Roman" w:hAnsi="Times New Roman" w:eastAsia="仿宋_GB2312" w:cs="Times New Roman"/>
                <w:snapToGrid/>
                <w:color w:val="auto"/>
                <w:kern w:val="2"/>
                <w:sz w:val="21"/>
                <w:szCs w:val="18"/>
                <w:vertAlign w:val="superscript"/>
                <w:lang w:val="en-US" w:eastAsia="zh-CN" w:bidi="ar"/>
              </w:rPr>
              <w:t>2</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0.04</w:t>
            </w:r>
          </w:p>
        </w:tc>
        <w:tc>
          <w:tcPr>
            <w:tcW w:w="1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-0.04</w:t>
            </w:r>
          </w:p>
        </w:tc>
        <w:tc>
          <w:tcPr>
            <w:tcW w:w="11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02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86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c>
          <w:tcPr>
            <w:tcW w:w="11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eastAsia" w:ascii="Times New Roman" w:hAnsi="Times New Roman" w:eastAsia="仿宋_GB2312" w:cs="仿宋_GB2312"/>
                <w:snapToGrid/>
                <w:color w:val="auto"/>
                <w:kern w:val="2"/>
                <w:sz w:val="21"/>
                <w:szCs w:val="18"/>
                <w:lang w:val="en-US" w:eastAsia="zh-CN" w:bidi="ar"/>
              </w:rPr>
              <w:t>撒播草籽</w:t>
            </w:r>
          </w:p>
        </w:tc>
        <w:tc>
          <w:tcPr>
            <w:tcW w:w="6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kg</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2</w:t>
            </w:r>
          </w:p>
        </w:tc>
        <w:tc>
          <w:tcPr>
            <w:tcW w:w="10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eastAsia" w:eastAsia="仿宋_GB2312"/>
                <w:color w:val="auto"/>
                <w:kern w:val="2"/>
                <w:sz w:val="21"/>
                <w:szCs w:val="21"/>
                <w:lang w:val="en-US" w:eastAsia="zh-CN"/>
              </w:rPr>
            </w:pPr>
            <w:r>
              <w:rPr>
                <w:rFonts w:hint="eastAsia"/>
                <w:color w:val="auto"/>
                <w:kern w:val="2"/>
                <w:sz w:val="21"/>
                <w:szCs w:val="21"/>
                <w:lang w:val="en-US" w:eastAsia="zh-CN"/>
              </w:rPr>
              <w:t>0</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rFonts w:hint="default" w:eastAsia="仿宋_GB2312"/>
                <w:color w:val="auto"/>
                <w:kern w:val="2"/>
                <w:sz w:val="21"/>
                <w:szCs w:val="21"/>
                <w:lang w:val="en-US" w:eastAsia="zh-CN"/>
              </w:rPr>
            </w:pPr>
            <w:r>
              <w:rPr>
                <w:rFonts w:hint="eastAsia"/>
                <w:color w:val="auto"/>
                <w:kern w:val="2"/>
                <w:sz w:val="21"/>
                <w:szCs w:val="21"/>
                <w:lang w:val="en-US" w:eastAsia="zh-CN"/>
              </w:rPr>
              <w:t>-2</w:t>
            </w:r>
          </w:p>
        </w:tc>
        <w:tc>
          <w:tcPr>
            <w:tcW w:w="11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Calibri" w:hAnsi="Calibri" w:eastAsia="宋体" w:cs="Times New Roman"/>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线路工程区</w:t>
            </w:r>
          </w:p>
        </w:tc>
        <w:tc>
          <w:tcPr>
            <w:tcW w:w="1028"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电缆工程区</w:t>
            </w:r>
          </w:p>
        </w:tc>
        <w:tc>
          <w:tcPr>
            <w:tcW w:w="86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工程措施</w:t>
            </w: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土地整治</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hm</w:t>
            </w:r>
            <w:r>
              <w:rPr>
                <w:color w:val="auto"/>
                <w:vertAlign w:val="superscript"/>
              </w:rPr>
              <w:t>2</w:t>
            </w:r>
          </w:p>
        </w:tc>
        <w:tc>
          <w:tcPr>
            <w:tcW w:w="1016"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0.01</w:t>
            </w:r>
          </w:p>
        </w:tc>
        <w:tc>
          <w:tcPr>
            <w:tcW w:w="100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0.01</w:t>
            </w:r>
          </w:p>
        </w:tc>
        <w:tc>
          <w:tcPr>
            <w:tcW w:w="744"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73" w:type="dxa"/>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hint="default" w:eastAsia="仿宋_GB2312"/>
                <w:color w:val="auto"/>
                <w:lang w:val="en-US" w:eastAsia="zh-CN"/>
              </w:rPr>
            </w:pPr>
            <w:r>
              <w:rPr>
                <w:rFonts w:hint="default" w:ascii="Times New Roman" w:hAnsi="Times New Roman" w:eastAsia="仿宋_GB2312" w:cs="Times New Roman"/>
                <w:snapToGrid/>
                <w:color w:val="auto"/>
                <w:kern w:val="2"/>
                <w:sz w:val="21"/>
                <w:szCs w:val="18"/>
                <w:lang w:val="en-US" w:eastAsia="zh-CN" w:bidi="ar"/>
              </w:rPr>
              <w:t>2019.10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临时措施</w:t>
            </w: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防雨布</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m</w:t>
            </w:r>
            <w:r>
              <w:rPr>
                <w:color w:val="auto"/>
                <w:vertAlign w:val="superscript"/>
              </w:rPr>
              <w:t>2</w:t>
            </w:r>
          </w:p>
        </w:tc>
        <w:tc>
          <w:tcPr>
            <w:tcW w:w="1016"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100</w:t>
            </w:r>
          </w:p>
        </w:tc>
        <w:tc>
          <w:tcPr>
            <w:tcW w:w="100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275</w:t>
            </w:r>
          </w:p>
        </w:tc>
        <w:tc>
          <w:tcPr>
            <w:tcW w:w="74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+175</w:t>
            </w:r>
          </w:p>
        </w:tc>
        <w:tc>
          <w:tcPr>
            <w:tcW w:w="1173" w:type="dxa"/>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right="0" w:firstLine="0" w:firstLineChars="0"/>
              <w:jc w:val="center"/>
              <w:rPr>
                <w:color w:val="auto"/>
                <w:kern w:val="2"/>
                <w:lang w:val="en-US"/>
              </w:rPr>
            </w:pPr>
            <w:r>
              <w:rPr>
                <w:rFonts w:hint="default" w:ascii="Times New Roman" w:hAnsi="Times New Roman" w:eastAsia="仿宋_GB2312" w:cs="Times New Roman"/>
                <w:snapToGrid/>
                <w:color w:val="auto"/>
                <w:kern w:val="2"/>
                <w:sz w:val="21"/>
                <w:szCs w:val="18"/>
                <w:lang w:val="en-US" w:eastAsia="zh-CN" w:bidi="ar"/>
              </w:rPr>
              <w:t>2019.6~</w:t>
            </w:r>
          </w:p>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color w:val="auto"/>
              </w:rPr>
            </w:pPr>
            <w:r>
              <w:rPr>
                <w:rFonts w:hint="default" w:ascii="Times New Roman" w:hAnsi="Times New Roman" w:eastAsia="仿宋_GB2312" w:cs="Times New Roman"/>
                <w:snapToGrid/>
                <w:color w:val="auto"/>
                <w:kern w:val="2"/>
                <w:sz w:val="21"/>
                <w:szCs w:val="18"/>
                <w:lang w:val="en-US" w:eastAsia="zh-CN" w:bidi="ar"/>
              </w:rPr>
              <w:t>2019.9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植物措施</w:t>
            </w: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绿化</w:t>
            </w:r>
            <w:r>
              <w:rPr>
                <w:rFonts w:hint="eastAsia"/>
                <w:color w:val="auto"/>
              </w:rPr>
              <w:t>面积</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hm</w:t>
            </w:r>
            <w:r>
              <w:rPr>
                <w:color w:val="auto"/>
                <w:vertAlign w:val="superscript"/>
              </w:rPr>
              <w:t>2</w:t>
            </w:r>
          </w:p>
        </w:tc>
        <w:tc>
          <w:tcPr>
            <w:tcW w:w="1016"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0.01</w:t>
            </w:r>
          </w:p>
        </w:tc>
        <w:tc>
          <w:tcPr>
            <w:tcW w:w="100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0.01</w:t>
            </w:r>
          </w:p>
        </w:tc>
        <w:tc>
          <w:tcPr>
            <w:tcW w:w="744"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73" w:type="dxa"/>
            <w:vMerge w:val="restart"/>
            <w:shd w:val="clear" w:color="auto" w:fill="auto"/>
            <w:vAlign w:val="center"/>
          </w:tcPr>
          <w:p>
            <w:pPr>
              <w:pStyle w:val="30"/>
              <w:keepNext w:val="0"/>
              <w:keepLines w:val="0"/>
              <w:widowControl/>
              <w:suppressLineNumbers w:val="0"/>
              <w:adjustRightInd w:val="0"/>
              <w:snapToGrid w:val="0"/>
              <w:spacing w:before="0" w:beforeLines="-2147483648" w:beforeAutospacing="0" w:after="0" w:afterAutospacing="0" w:line="240" w:lineRule="exact"/>
              <w:ind w:left="0" w:leftChars="0" w:right="0" w:rightChars="0" w:firstLine="0" w:firstLineChars="0"/>
              <w:jc w:val="center"/>
              <w:rPr>
                <w:rFonts w:hint="default" w:eastAsia="仿宋_GB2312"/>
                <w:color w:val="auto"/>
                <w:lang w:val="en-US" w:eastAsia="zh-CN"/>
              </w:rPr>
            </w:pPr>
            <w:r>
              <w:rPr>
                <w:rFonts w:hint="default" w:ascii="Times New Roman" w:hAnsi="Times New Roman" w:eastAsia="仿宋_GB2312" w:cs="Times New Roman"/>
                <w:snapToGrid/>
                <w:color w:val="auto"/>
                <w:kern w:val="2"/>
                <w:sz w:val="21"/>
                <w:szCs w:val="18"/>
                <w:lang w:val="en-US" w:eastAsia="zh-CN" w:bidi="ar"/>
              </w:rPr>
              <w:t>2019.10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撒播草籽</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kg</w:t>
            </w:r>
          </w:p>
        </w:tc>
        <w:tc>
          <w:tcPr>
            <w:tcW w:w="1016"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0.5</w:t>
            </w:r>
          </w:p>
        </w:tc>
        <w:tc>
          <w:tcPr>
            <w:tcW w:w="100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w:t>
            </w:r>
          </w:p>
        </w:tc>
        <w:tc>
          <w:tcPr>
            <w:tcW w:w="74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+1.5</w:t>
            </w:r>
          </w:p>
        </w:tc>
        <w:tc>
          <w:tcPr>
            <w:tcW w:w="1173"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塔基及塔基临时占地区</w:t>
            </w:r>
          </w:p>
        </w:tc>
        <w:tc>
          <w:tcPr>
            <w:tcW w:w="869"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工程措施</w:t>
            </w: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排水沟</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color w:val="auto"/>
                <w:lang w:eastAsia="zh-CN"/>
              </w:rPr>
            </w:pPr>
            <w:r>
              <w:rPr>
                <w:rFonts w:hint="eastAsia"/>
                <w:color w:val="auto"/>
                <w:lang w:val="en-US" w:eastAsia="zh-CN"/>
              </w:rPr>
              <w:t>m</w:t>
            </w:r>
          </w:p>
        </w:tc>
        <w:tc>
          <w:tcPr>
            <w:tcW w:w="1016"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134</w:t>
            </w:r>
          </w:p>
        </w:tc>
        <w:tc>
          <w:tcPr>
            <w:tcW w:w="100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166</w:t>
            </w:r>
          </w:p>
        </w:tc>
        <w:tc>
          <w:tcPr>
            <w:tcW w:w="74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+32</w:t>
            </w: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lang w:val="en-US" w:eastAsia="zh-CN"/>
              </w:rPr>
            </w:pPr>
            <w:r>
              <w:rPr>
                <w:rFonts w:hint="eastAsia"/>
                <w:color w:val="auto"/>
                <w:lang w:val="en-US" w:eastAsia="zh-CN"/>
              </w:rPr>
              <w:t>2019.6~</w:t>
            </w:r>
          </w:p>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2019.9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剥离表土</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万</w:t>
            </w:r>
            <w:r>
              <w:rPr>
                <w:color w:val="auto"/>
              </w:rPr>
              <w:t>m</w:t>
            </w:r>
            <w:r>
              <w:rPr>
                <w:color w:val="auto"/>
                <w:vertAlign w:val="superscript"/>
              </w:rPr>
              <w:t>3</w:t>
            </w:r>
          </w:p>
        </w:tc>
        <w:tc>
          <w:tcPr>
            <w:tcW w:w="1016"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0.05</w:t>
            </w:r>
          </w:p>
        </w:tc>
        <w:tc>
          <w:tcPr>
            <w:tcW w:w="100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0.05</w:t>
            </w:r>
          </w:p>
        </w:tc>
        <w:tc>
          <w:tcPr>
            <w:tcW w:w="744"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2019.6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土地整治</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hm</w:t>
            </w:r>
            <w:r>
              <w:rPr>
                <w:color w:val="auto"/>
                <w:vertAlign w:val="superscript"/>
              </w:rPr>
              <w:t>2</w:t>
            </w:r>
          </w:p>
        </w:tc>
        <w:tc>
          <w:tcPr>
            <w:tcW w:w="1016"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0.81</w:t>
            </w:r>
          </w:p>
        </w:tc>
        <w:tc>
          <w:tcPr>
            <w:tcW w:w="100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0.81</w:t>
            </w:r>
          </w:p>
        </w:tc>
        <w:tc>
          <w:tcPr>
            <w:tcW w:w="744"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2019.10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表</w:t>
            </w:r>
            <w:r>
              <w:rPr>
                <w:rFonts w:hint="eastAsia"/>
                <w:color w:val="auto"/>
              </w:rPr>
              <w:t>土</w:t>
            </w:r>
            <w:r>
              <w:rPr>
                <w:color w:val="auto"/>
              </w:rPr>
              <w:t>回铺</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万</w:t>
            </w:r>
            <w:r>
              <w:rPr>
                <w:color w:val="auto"/>
              </w:rPr>
              <w:t>m</w:t>
            </w:r>
            <w:r>
              <w:rPr>
                <w:color w:val="auto"/>
                <w:vertAlign w:val="superscript"/>
              </w:rPr>
              <w:t>3</w:t>
            </w:r>
          </w:p>
        </w:tc>
        <w:tc>
          <w:tcPr>
            <w:tcW w:w="1016"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0.05</w:t>
            </w:r>
          </w:p>
        </w:tc>
        <w:tc>
          <w:tcPr>
            <w:tcW w:w="100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0.05</w:t>
            </w:r>
          </w:p>
        </w:tc>
        <w:tc>
          <w:tcPr>
            <w:tcW w:w="744"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2019.10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草袋挡护</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rPr>
            </w:pPr>
            <w:r>
              <w:rPr>
                <w:color w:val="auto"/>
              </w:rPr>
              <w:t>m</w:t>
            </w:r>
            <w:r>
              <w:rPr>
                <w:color w:val="auto"/>
                <w:vertAlign w:val="superscript"/>
              </w:rPr>
              <w:t>3</w:t>
            </w:r>
          </w:p>
        </w:tc>
        <w:tc>
          <w:tcPr>
            <w:tcW w:w="1016"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color w:val="auto"/>
                <w:lang w:val="en-US" w:eastAsia="zh-CN"/>
              </w:rPr>
            </w:pPr>
            <w:r>
              <w:rPr>
                <w:rFonts w:hint="eastAsia"/>
                <w:color w:val="auto"/>
                <w:lang w:val="en-US" w:eastAsia="zh-CN"/>
              </w:rPr>
              <w:t>36.54</w:t>
            </w:r>
          </w:p>
        </w:tc>
        <w:tc>
          <w:tcPr>
            <w:tcW w:w="100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w:t>
            </w:r>
          </w:p>
        </w:tc>
        <w:tc>
          <w:tcPr>
            <w:tcW w:w="74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-36.54</w:t>
            </w: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措施重复，取消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临时措施</w:t>
            </w: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土袋挡护</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m</w:t>
            </w:r>
            <w:r>
              <w:rPr>
                <w:color w:val="auto"/>
                <w:vertAlign w:val="superscript"/>
              </w:rPr>
              <w:t>3</w:t>
            </w:r>
          </w:p>
        </w:tc>
        <w:tc>
          <w:tcPr>
            <w:tcW w:w="1016"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597.8</w:t>
            </w:r>
          </w:p>
        </w:tc>
        <w:tc>
          <w:tcPr>
            <w:tcW w:w="100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655</w:t>
            </w:r>
          </w:p>
        </w:tc>
        <w:tc>
          <w:tcPr>
            <w:tcW w:w="74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+57.2</w:t>
            </w: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lang w:val="en-US" w:eastAsia="zh-CN"/>
              </w:rPr>
            </w:pPr>
            <w:r>
              <w:rPr>
                <w:rFonts w:hint="eastAsia"/>
                <w:color w:val="auto"/>
                <w:lang w:val="en-US" w:eastAsia="zh-CN"/>
              </w:rPr>
              <w:t>2019.6~</w:t>
            </w:r>
          </w:p>
          <w:p>
            <w:pPr>
              <w:pStyle w:val="52"/>
              <w:keepNext w:val="0"/>
              <w:keepLines w:val="0"/>
              <w:widowControl/>
              <w:suppressLineNumbers w:val="0"/>
              <w:spacing w:before="0" w:beforeAutospacing="0" w:after="0" w:afterAutospacing="0"/>
              <w:ind w:left="0" w:right="0"/>
              <w:rPr>
                <w:color w:val="auto"/>
              </w:rPr>
            </w:pPr>
            <w:r>
              <w:rPr>
                <w:rFonts w:hint="eastAsia"/>
                <w:color w:val="auto"/>
                <w:lang w:val="en-US" w:eastAsia="zh-CN"/>
              </w:rPr>
              <w:t>2019.9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防雨布</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m</w:t>
            </w:r>
            <w:r>
              <w:rPr>
                <w:color w:val="auto"/>
                <w:vertAlign w:val="superscript"/>
              </w:rPr>
              <w:t>2</w:t>
            </w:r>
          </w:p>
        </w:tc>
        <w:tc>
          <w:tcPr>
            <w:tcW w:w="1016"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4200</w:t>
            </w:r>
          </w:p>
        </w:tc>
        <w:tc>
          <w:tcPr>
            <w:tcW w:w="100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6500</w:t>
            </w:r>
          </w:p>
        </w:tc>
        <w:tc>
          <w:tcPr>
            <w:tcW w:w="74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+2300</w:t>
            </w: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lang w:val="en-US" w:eastAsia="zh-CN"/>
              </w:rPr>
            </w:pPr>
            <w:r>
              <w:rPr>
                <w:rFonts w:hint="eastAsia"/>
                <w:color w:val="auto"/>
                <w:lang w:val="en-US" w:eastAsia="zh-CN"/>
              </w:rPr>
              <w:t>2019.6~</w:t>
            </w:r>
          </w:p>
          <w:p>
            <w:pPr>
              <w:pStyle w:val="52"/>
              <w:keepNext w:val="0"/>
              <w:keepLines w:val="0"/>
              <w:widowControl/>
              <w:suppressLineNumbers w:val="0"/>
              <w:spacing w:before="0" w:beforeAutospacing="0" w:after="0" w:afterAutospacing="0"/>
              <w:ind w:left="0" w:right="0"/>
              <w:rPr>
                <w:color w:val="auto"/>
              </w:rPr>
            </w:pPr>
            <w:r>
              <w:rPr>
                <w:rFonts w:hint="eastAsia"/>
                <w:color w:val="auto"/>
                <w:lang w:val="en-US" w:eastAsia="zh-CN"/>
              </w:rPr>
              <w:t>2019.9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植物措施</w:t>
            </w: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绿化</w:t>
            </w:r>
            <w:r>
              <w:rPr>
                <w:rFonts w:hint="eastAsia"/>
                <w:color w:val="auto"/>
              </w:rPr>
              <w:t>面积</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hm</w:t>
            </w:r>
            <w:r>
              <w:rPr>
                <w:color w:val="auto"/>
                <w:vertAlign w:val="superscript"/>
              </w:rPr>
              <w:t>2</w:t>
            </w:r>
          </w:p>
        </w:tc>
        <w:tc>
          <w:tcPr>
            <w:tcW w:w="1016"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0.81</w:t>
            </w:r>
          </w:p>
        </w:tc>
        <w:tc>
          <w:tcPr>
            <w:tcW w:w="100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0.71</w:t>
            </w:r>
          </w:p>
        </w:tc>
        <w:tc>
          <w:tcPr>
            <w:tcW w:w="74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-0.10</w:t>
            </w: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2019.10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firstLine="0" w:firstLineChars="0"/>
              <w:rPr>
                <w:rFonts w:ascii="Times New Roman" w:hAnsi="Times New Roman" w:eastAsia="仿宋_GB2312" w:cstheme="minorBidi"/>
                <w:color w:val="auto"/>
                <w:kern w:val="0"/>
                <w:sz w:val="21"/>
                <w:szCs w:val="18"/>
                <w:lang w:val="en-US" w:eastAsia="zh-CN" w:bidi="ar-SA"/>
              </w:rPr>
            </w:pPr>
            <w:r>
              <w:rPr>
                <w:color w:val="auto"/>
              </w:rPr>
              <w:t>撒播草籽</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firstLine="0" w:firstLineChars="0"/>
              <w:rPr>
                <w:rFonts w:ascii="Times New Roman" w:hAnsi="Times New Roman" w:eastAsia="仿宋_GB2312" w:cstheme="minorBidi"/>
                <w:color w:val="auto"/>
                <w:kern w:val="0"/>
                <w:sz w:val="21"/>
                <w:szCs w:val="18"/>
                <w:lang w:val="en-US" w:eastAsia="zh-CN" w:bidi="ar-SA"/>
              </w:rPr>
            </w:pPr>
            <w:r>
              <w:rPr>
                <w:color w:val="auto"/>
              </w:rPr>
              <w:t>kg</w:t>
            </w:r>
          </w:p>
        </w:tc>
        <w:tc>
          <w:tcPr>
            <w:tcW w:w="1016"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40.5</w:t>
            </w:r>
          </w:p>
        </w:tc>
        <w:tc>
          <w:tcPr>
            <w:tcW w:w="100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60</w:t>
            </w:r>
          </w:p>
        </w:tc>
        <w:tc>
          <w:tcPr>
            <w:tcW w:w="74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+19.5</w:t>
            </w: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2019.10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其他临时占地区</w:t>
            </w:r>
          </w:p>
        </w:tc>
        <w:tc>
          <w:tcPr>
            <w:tcW w:w="86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工程措施</w:t>
            </w: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土地整治</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hm</w:t>
            </w:r>
            <w:r>
              <w:rPr>
                <w:color w:val="auto"/>
                <w:vertAlign w:val="superscript"/>
              </w:rPr>
              <w:t>2</w:t>
            </w:r>
          </w:p>
        </w:tc>
        <w:tc>
          <w:tcPr>
            <w:tcW w:w="1016"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0.11</w:t>
            </w:r>
          </w:p>
        </w:tc>
        <w:tc>
          <w:tcPr>
            <w:tcW w:w="100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0.11</w:t>
            </w:r>
          </w:p>
        </w:tc>
        <w:tc>
          <w:tcPr>
            <w:tcW w:w="744"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2019.10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临时措施</w:t>
            </w: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铺设棕垫</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m</w:t>
            </w:r>
            <w:r>
              <w:rPr>
                <w:color w:val="auto"/>
                <w:vertAlign w:val="superscript"/>
              </w:rPr>
              <w:t>2</w:t>
            </w:r>
          </w:p>
        </w:tc>
        <w:tc>
          <w:tcPr>
            <w:tcW w:w="1016"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500</w:t>
            </w:r>
          </w:p>
        </w:tc>
        <w:tc>
          <w:tcPr>
            <w:tcW w:w="100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w:t>
            </w:r>
          </w:p>
        </w:tc>
        <w:tc>
          <w:tcPr>
            <w:tcW w:w="74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-500</w:t>
            </w: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根据实际施工情况取消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植物措施</w:t>
            </w: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绿化</w:t>
            </w:r>
            <w:r>
              <w:rPr>
                <w:rFonts w:hint="eastAsia"/>
                <w:color w:val="auto"/>
              </w:rPr>
              <w:t>面积</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hm</w:t>
            </w:r>
            <w:r>
              <w:rPr>
                <w:color w:val="auto"/>
                <w:vertAlign w:val="superscript"/>
              </w:rPr>
              <w:t>2</w:t>
            </w:r>
          </w:p>
        </w:tc>
        <w:tc>
          <w:tcPr>
            <w:tcW w:w="1016"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0.11</w:t>
            </w:r>
          </w:p>
        </w:tc>
        <w:tc>
          <w:tcPr>
            <w:tcW w:w="100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0.11</w:t>
            </w:r>
          </w:p>
        </w:tc>
        <w:tc>
          <w:tcPr>
            <w:tcW w:w="744"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73" w:type="dxa"/>
            <w:vMerge w:val="restart"/>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2019.10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撒播草籽</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kg</w:t>
            </w:r>
          </w:p>
        </w:tc>
        <w:tc>
          <w:tcPr>
            <w:tcW w:w="1016"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5.5</w:t>
            </w:r>
          </w:p>
        </w:tc>
        <w:tc>
          <w:tcPr>
            <w:tcW w:w="100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10</w:t>
            </w:r>
          </w:p>
        </w:tc>
        <w:tc>
          <w:tcPr>
            <w:tcW w:w="74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+4.5</w:t>
            </w:r>
          </w:p>
        </w:tc>
        <w:tc>
          <w:tcPr>
            <w:tcW w:w="1173"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人抬道路区</w:t>
            </w:r>
          </w:p>
        </w:tc>
        <w:tc>
          <w:tcPr>
            <w:tcW w:w="86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工程措施</w:t>
            </w: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土地整治</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hm</w:t>
            </w:r>
            <w:r>
              <w:rPr>
                <w:color w:val="auto"/>
                <w:vertAlign w:val="superscript"/>
              </w:rPr>
              <w:t>2</w:t>
            </w:r>
          </w:p>
        </w:tc>
        <w:tc>
          <w:tcPr>
            <w:tcW w:w="1016"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0.70</w:t>
            </w:r>
          </w:p>
        </w:tc>
        <w:tc>
          <w:tcPr>
            <w:tcW w:w="100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0.70</w:t>
            </w:r>
          </w:p>
        </w:tc>
        <w:tc>
          <w:tcPr>
            <w:tcW w:w="744"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7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2019.10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植物措施</w:t>
            </w: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绿化</w:t>
            </w:r>
            <w:r>
              <w:rPr>
                <w:rFonts w:hint="eastAsia"/>
                <w:color w:val="auto"/>
              </w:rPr>
              <w:t>面积</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hm</w:t>
            </w:r>
            <w:r>
              <w:rPr>
                <w:color w:val="auto"/>
                <w:vertAlign w:val="superscript"/>
              </w:rPr>
              <w:t>2</w:t>
            </w:r>
          </w:p>
        </w:tc>
        <w:tc>
          <w:tcPr>
            <w:tcW w:w="1016"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0.70</w:t>
            </w:r>
          </w:p>
        </w:tc>
        <w:tc>
          <w:tcPr>
            <w:tcW w:w="100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0.64</w:t>
            </w:r>
          </w:p>
        </w:tc>
        <w:tc>
          <w:tcPr>
            <w:tcW w:w="74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-0.06</w:t>
            </w:r>
          </w:p>
        </w:tc>
        <w:tc>
          <w:tcPr>
            <w:tcW w:w="1173" w:type="dxa"/>
            <w:vMerge w:val="restart"/>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2019.10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85"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028"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869"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c>
          <w:tcPr>
            <w:tcW w:w="112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撒播草籽</w:t>
            </w:r>
          </w:p>
        </w:tc>
        <w:tc>
          <w:tcPr>
            <w:tcW w:w="686"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kg</w:t>
            </w:r>
          </w:p>
        </w:tc>
        <w:tc>
          <w:tcPr>
            <w:tcW w:w="1016" w:type="dxa"/>
            <w:gridSpan w:val="2"/>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43</w:t>
            </w:r>
          </w:p>
        </w:tc>
        <w:tc>
          <w:tcPr>
            <w:tcW w:w="100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90</w:t>
            </w:r>
          </w:p>
        </w:tc>
        <w:tc>
          <w:tcPr>
            <w:tcW w:w="744"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+47</w:t>
            </w:r>
          </w:p>
        </w:tc>
        <w:tc>
          <w:tcPr>
            <w:tcW w:w="1173"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r>
    </w:tbl>
    <w:p>
      <w:pPr>
        <w:spacing w:before="120"/>
        <w:ind w:firstLine="480"/>
      </w:pPr>
      <w:r>
        <w:t>综上，本工程基本按照水保方案及批复文件的要求实施了工程防护措施、植物措施和临时措施，各防治分区防治措施体系完整，部分防治分区根据现场施工情况进行了</w:t>
      </w:r>
      <w:r>
        <w:rPr>
          <w:rFonts w:hint="eastAsia"/>
          <w:lang w:val="en-US" w:eastAsia="zh-CN"/>
        </w:rPr>
        <w:t>少量</w:t>
      </w:r>
      <w:r>
        <w:t>调整，水土流失防治分区和水土保持设施总体布局合理。目前，工程防治区内未发生严重水土流失情况，工程措施防护基本到位。因项目区地势及气候条件原因，植被长势情况不佳；工程建设引起的水土流失得到了较好的控制，生态环境有良好的改善。总体上来看，本项目实际完成的水土保持措施较水保方案中水土保持措施相比水土保持功能有所提高。</w:t>
      </w:r>
    </w:p>
    <w:p>
      <w:pPr>
        <w:pStyle w:val="3"/>
        <w:spacing w:before="120" w:after="120"/>
        <w:rPr>
          <w:b/>
          <w:bCs/>
        </w:rPr>
      </w:pPr>
      <w:bookmarkStart w:id="84" w:name="_Toc2727"/>
      <w:bookmarkStart w:id="85" w:name="_Toc515873328"/>
      <w:r>
        <w:rPr>
          <w:b/>
          <w:bCs/>
        </w:rPr>
        <w:t>水土保持投资完成情况</w:t>
      </w:r>
      <w:bookmarkEnd w:id="84"/>
      <w:bookmarkEnd w:id="85"/>
    </w:p>
    <w:p>
      <w:pPr>
        <w:pStyle w:val="4"/>
        <w:spacing w:before="120"/>
      </w:pPr>
      <w:bookmarkStart w:id="86" w:name="_Toc515873329"/>
      <w:bookmarkStart w:id="87" w:name="_Toc484280824"/>
      <w:bookmarkStart w:id="88" w:name="_Toc14925"/>
      <w:bookmarkStart w:id="89" w:name="_Toc21202"/>
      <w:bookmarkStart w:id="90" w:name="_Toc496268085"/>
      <w:bookmarkStart w:id="91" w:name="_Toc28908"/>
      <w:bookmarkStart w:id="92" w:name="_Toc489977041"/>
      <w:r>
        <w:t>工程水土保持方案批复投资</w:t>
      </w:r>
      <w:bookmarkEnd w:id="86"/>
      <w:bookmarkEnd w:id="87"/>
      <w:bookmarkEnd w:id="88"/>
      <w:bookmarkEnd w:id="89"/>
      <w:bookmarkEnd w:id="90"/>
      <w:bookmarkEnd w:id="91"/>
      <w:bookmarkEnd w:id="92"/>
    </w:p>
    <w:p>
      <w:pPr>
        <w:spacing w:before="120"/>
        <w:ind w:firstLine="480"/>
        <w:rPr>
          <w:rFonts w:hint="eastAsia"/>
          <w:lang w:eastAsia="zh-CN"/>
        </w:rPr>
      </w:pPr>
      <w:r>
        <w:t>根据水土保持方案报告书和甘孜州水利局批复文件（甘水审[2019]</w:t>
      </w:r>
      <w:r>
        <w:rPr>
          <w:rFonts w:hint="eastAsia"/>
          <w:lang w:val="en-US" w:eastAsia="zh-CN"/>
        </w:rPr>
        <w:t>34</w:t>
      </w:r>
      <w:r>
        <w:t>号），</w:t>
      </w:r>
      <w:r>
        <w:rPr>
          <w:rFonts w:hint="eastAsia"/>
          <w:lang w:eastAsia="zh-CN"/>
        </w:rPr>
        <w:t>甘孜雅江柯拉35千伏输变电工程水土保持总投资为67.46万元。其中，主体工程设计中水土保持措施投资为9.75万元，新增水土保持专项投资为57.74万元。新增水保专项投资中，工程措施费8.29万元，植物措施费用0.31万元，监测措施费用4.76万元，临时措施费用31.37万元，独立费用7.97万元，基本预备费2.64万元，水土保持补偿费2.40万元。</w:t>
      </w:r>
    </w:p>
    <w:p>
      <w:pPr>
        <w:spacing w:before="120"/>
        <w:ind w:firstLine="480"/>
      </w:pPr>
      <w:r>
        <w:t>批复的水土保持投资详见表3.6-1。</w:t>
      </w:r>
    </w:p>
    <w:p>
      <w:pPr>
        <w:spacing w:before="120"/>
        <w:ind w:firstLine="480"/>
      </w:pPr>
    </w:p>
    <w:p>
      <w:pPr>
        <w:spacing w:before="120"/>
        <w:ind w:firstLine="480"/>
      </w:pPr>
    </w:p>
    <w:p>
      <w:pPr>
        <w:spacing w:before="120"/>
        <w:ind w:firstLine="480"/>
      </w:pPr>
    </w:p>
    <w:p>
      <w:pPr>
        <w:pStyle w:val="16"/>
      </w:pPr>
      <w:r>
        <w:t>批复的水土保持投资表</w:t>
      </w:r>
      <w:r>
        <w:rPr>
          <w:vertAlign w:val="superscript"/>
        </w:rPr>
        <w:t xml:space="preserve">    </w:t>
      </w:r>
      <w:r>
        <w:t>单位：万元</w:t>
      </w:r>
    </w:p>
    <w:p>
      <w:pPr>
        <w:pStyle w:val="13"/>
      </w:pPr>
      <w:r>
        <w:t>表</w:t>
      </w:r>
      <w:r>
        <w:rPr>
          <w:vertAlign w:val="superscript"/>
        </w:rPr>
        <w:t xml:space="preserve"> </w:t>
      </w:r>
      <w:r>
        <w:fldChar w:fldCharType="begin"/>
      </w:r>
      <w:r>
        <w:instrText xml:space="preserve"> STYLEREF 2 \s </w:instrText>
      </w:r>
      <w:r>
        <w:fldChar w:fldCharType="separate"/>
      </w:r>
      <w:r>
        <w:t>3.6</w:t>
      </w:r>
      <w:r>
        <w:fldChar w:fldCharType="end"/>
      </w:r>
      <w:r>
        <w:noBreakHyphen/>
      </w:r>
      <w:r>
        <w:fldChar w:fldCharType="begin"/>
      </w:r>
      <w:r>
        <w:instrText xml:space="preserve"> SEQ 表 \* ARABIC \s 2 </w:instrText>
      </w:r>
      <w:r>
        <w:fldChar w:fldCharType="separate"/>
      </w:r>
      <w:r>
        <w:t>1</w:t>
      </w:r>
      <w:r>
        <w:fldChar w:fldCharType="end"/>
      </w:r>
    </w:p>
    <w:tbl>
      <w:tblPr>
        <w:tblStyle w:val="32"/>
        <w:tblW w:w="8328" w:type="dxa"/>
        <w:tblInd w:w="0" w:type="dxa"/>
        <w:tblLayout w:type="fixed"/>
        <w:tblCellMar>
          <w:top w:w="0" w:type="dxa"/>
          <w:left w:w="11" w:type="dxa"/>
          <w:bottom w:w="0" w:type="dxa"/>
          <w:right w:w="11" w:type="dxa"/>
        </w:tblCellMar>
      </w:tblPr>
      <w:tblGrid>
        <w:gridCol w:w="868"/>
        <w:gridCol w:w="3469"/>
        <w:gridCol w:w="1479"/>
        <w:gridCol w:w="1479"/>
        <w:gridCol w:w="1033"/>
      </w:tblGrid>
      <w:tr>
        <w:tblPrEx>
          <w:tblCellMar>
            <w:top w:w="0" w:type="dxa"/>
            <w:left w:w="11" w:type="dxa"/>
            <w:bottom w:w="0" w:type="dxa"/>
            <w:right w:w="11" w:type="dxa"/>
          </w:tblCellMar>
        </w:tblPrEx>
        <w:trPr>
          <w:trHeight w:val="340" w:hRule="atLeast"/>
          <w:tblHeader/>
        </w:trPr>
        <w:tc>
          <w:tcPr>
            <w:tcW w:w="868"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编号</w:t>
            </w:r>
          </w:p>
        </w:tc>
        <w:tc>
          <w:tcPr>
            <w:tcW w:w="3469"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工程或费用名称</w:t>
            </w:r>
          </w:p>
        </w:tc>
        <w:tc>
          <w:tcPr>
            <w:tcW w:w="3991"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方案批复投资</w:t>
            </w:r>
          </w:p>
        </w:tc>
      </w:tr>
      <w:tr>
        <w:tblPrEx>
          <w:tblCellMar>
            <w:top w:w="0" w:type="dxa"/>
            <w:left w:w="11" w:type="dxa"/>
            <w:bottom w:w="0" w:type="dxa"/>
            <w:right w:w="11" w:type="dxa"/>
          </w:tblCellMar>
        </w:tblPrEx>
        <w:trPr>
          <w:trHeight w:val="340" w:hRule="atLeast"/>
          <w:tblHeader/>
        </w:trPr>
        <w:tc>
          <w:tcPr>
            <w:tcW w:w="868" w:type="dxa"/>
            <w:vMerge w:val="continue"/>
            <w:tcBorders>
              <w:top w:val="single" w:color="auto" w:sz="4" w:space="0"/>
              <w:left w:val="single" w:color="auto" w:sz="4" w:space="0"/>
              <w:bottom w:val="single" w:color="000000" w:sz="4" w:space="0"/>
              <w:right w:val="single" w:color="auto" w:sz="4" w:space="0"/>
            </w:tcBorders>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3469" w:type="dxa"/>
            <w:vMerge w:val="continue"/>
            <w:tcBorders>
              <w:top w:val="single" w:color="auto" w:sz="4" w:space="0"/>
              <w:left w:val="single" w:color="auto" w:sz="4" w:space="0"/>
              <w:bottom w:val="single" w:color="000000" w:sz="4" w:space="0"/>
              <w:right w:val="single" w:color="auto" w:sz="4" w:space="0"/>
            </w:tcBorders>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主体已有</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方案新增</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合计</w:t>
            </w: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一</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第一部分</w:t>
            </w:r>
            <w:r>
              <w:rPr>
                <w:rFonts w:hint="eastAsia"/>
                <w:kern w:val="0"/>
                <w:sz w:val="21"/>
                <w:szCs w:val="21"/>
                <w:vertAlign w:val="superscript"/>
              </w:rPr>
              <w:t xml:space="preserve"> </w:t>
            </w:r>
            <w:r>
              <w:rPr>
                <w:rFonts w:hint="eastAsia"/>
                <w:kern w:val="0"/>
                <w:sz w:val="21"/>
                <w:szCs w:val="21"/>
              </w:rPr>
              <w:t>工程措施</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9.72</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8.29</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18.01</w:t>
            </w: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1.1</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vertAlign w:val="superscript"/>
              </w:rPr>
              <w:t xml:space="preserve"> </w:t>
            </w:r>
            <w:r>
              <w:rPr>
                <w:rFonts w:hint="eastAsia"/>
                <w:kern w:val="0"/>
                <w:sz w:val="21"/>
                <w:szCs w:val="21"/>
              </w:rPr>
              <w:t>变电站工程区</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6.42</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1.10</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1.2</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线路工程区</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3.30</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7.19</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二</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第二部分</w:t>
            </w:r>
            <w:r>
              <w:rPr>
                <w:rFonts w:hint="eastAsia"/>
                <w:kern w:val="0"/>
                <w:sz w:val="21"/>
                <w:szCs w:val="21"/>
                <w:vertAlign w:val="superscript"/>
              </w:rPr>
              <w:t xml:space="preserve"> </w:t>
            </w:r>
            <w:r>
              <w:rPr>
                <w:rFonts w:hint="eastAsia"/>
                <w:kern w:val="0"/>
                <w:sz w:val="21"/>
                <w:szCs w:val="21"/>
              </w:rPr>
              <w:t>植物措施</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0.31</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0.31</w:t>
            </w: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2.1</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vertAlign w:val="superscript"/>
              </w:rPr>
              <w:t xml:space="preserve"> </w:t>
            </w:r>
            <w:r>
              <w:rPr>
                <w:rFonts w:hint="eastAsia"/>
                <w:kern w:val="0"/>
                <w:sz w:val="21"/>
                <w:szCs w:val="21"/>
              </w:rPr>
              <w:t>变电站工程区</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ascii="Times New Roman" w:hAnsi="Times New Roman" w:eastAsia="仿宋_GB2312" w:cs="Times New Roman"/>
                <w:kern w:val="0"/>
                <w:sz w:val="21"/>
                <w:szCs w:val="21"/>
                <w:lang w:val="en-US" w:eastAsia="zh-CN" w:bidi="ar-SA"/>
              </w:rPr>
            </w:pPr>
            <w:r>
              <w:rPr>
                <w:rFonts w:hint="eastAsia" w:cs="Times New Roman"/>
                <w:kern w:val="0"/>
                <w:sz w:val="21"/>
                <w:szCs w:val="21"/>
                <w:lang w:val="en-US" w:eastAsia="zh-CN" w:bidi="ar-SA"/>
              </w:rPr>
              <w:t>0.01</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2.2</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线路工程区</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ascii="Times New Roman" w:hAnsi="Times New Roman" w:eastAsia="仿宋_GB2312" w:cs="Times New Roman"/>
                <w:kern w:val="0"/>
                <w:sz w:val="21"/>
                <w:szCs w:val="21"/>
                <w:lang w:val="en-US" w:eastAsia="zh-CN" w:bidi="ar-SA"/>
              </w:rPr>
            </w:pPr>
            <w:r>
              <w:rPr>
                <w:rFonts w:hint="eastAsia" w:cs="Times New Roman"/>
                <w:kern w:val="0"/>
                <w:sz w:val="21"/>
                <w:szCs w:val="21"/>
                <w:lang w:val="en-US" w:eastAsia="zh-CN" w:bidi="ar-SA"/>
              </w:rPr>
              <w:t>0.30</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三</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第三部分</w:t>
            </w:r>
            <w:r>
              <w:rPr>
                <w:rFonts w:hint="eastAsia"/>
                <w:kern w:val="0"/>
                <w:sz w:val="21"/>
                <w:szCs w:val="21"/>
                <w:vertAlign w:val="superscript"/>
              </w:rPr>
              <w:t xml:space="preserve"> </w:t>
            </w:r>
            <w:r>
              <w:rPr>
                <w:rFonts w:hint="eastAsia"/>
                <w:kern w:val="0"/>
                <w:sz w:val="21"/>
                <w:szCs w:val="21"/>
              </w:rPr>
              <w:t>监测措施</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4.76</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4.76</w:t>
            </w: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3.1</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设备及安装费</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3.11</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3.2</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建设期观测运行费</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1.65</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四</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第四部分</w:t>
            </w:r>
            <w:r>
              <w:rPr>
                <w:rFonts w:hint="eastAsia"/>
                <w:kern w:val="0"/>
                <w:sz w:val="21"/>
                <w:szCs w:val="21"/>
                <w:vertAlign w:val="superscript"/>
              </w:rPr>
              <w:t xml:space="preserve"> </w:t>
            </w:r>
            <w:r>
              <w:rPr>
                <w:rFonts w:hint="eastAsia"/>
                <w:kern w:val="0"/>
                <w:sz w:val="21"/>
                <w:szCs w:val="21"/>
              </w:rPr>
              <w:t>临时措施</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31.37</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31.37</w:t>
            </w: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4.1</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vertAlign w:val="superscript"/>
              </w:rPr>
              <w:t xml:space="preserve"> </w:t>
            </w:r>
            <w:r>
              <w:rPr>
                <w:rFonts w:hint="eastAsia"/>
                <w:kern w:val="0"/>
                <w:sz w:val="21"/>
                <w:szCs w:val="21"/>
              </w:rPr>
              <w:t>变电站工程区</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1.95</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4.2</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线路工程区</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29.22</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4.</w:t>
            </w:r>
            <w:r>
              <w:rPr>
                <w:rFonts w:hint="eastAsia"/>
                <w:kern w:val="0"/>
                <w:sz w:val="21"/>
                <w:szCs w:val="21"/>
              </w:rPr>
              <w:t>3</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其他临时工程</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0.20</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五</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一至四部分合计</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9.72</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44.73</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54.45</w:t>
            </w: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六</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第五部分</w:t>
            </w:r>
            <w:r>
              <w:rPr>
                <w:rFonts w:hint="eastAsia"/>
                <w:kern w:val="0"/>
                <w:sz w:val="21"/>
                <w:szCs w:val="21"/>
                <w:vertAlign w:val="superscript"/>
              </w:rPr>
              <w:t xml:space="preserve"> </w:t>
            </w:r>
            <w:r>
              <w:rPr>
                <w:rFonts w:hint="eastAsia"/>
                <w:kern w:val="0"/>
                <w:sz w:val="21"/>
                <w:szCs w:val="21"/>
              </w:rPr>
              <w:t>独立费用</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7.97</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7.97</w:t>
            </w: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6.1</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建设管理费</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0.89</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6.2</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科研勘测设计费</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3.52</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6.3</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水土保持监理费</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1.18</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6.4</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水保设施</w:t>
            </w:r>
            <w:r>
              <w:rPr>
                <w:kern w:val="0"/>
                <w:sz w:val="21"/>
                <w:szCs w:val="21"/>
              </w:rPr>
              <w:t>验收</w:t>
            </w:r>
            <w:r>
              <w:rPr>
                <w:rFonts w:hint="eastAsia"/>
                <w:kern w:val="0"/>
                <w:sz w:val="21"/>
                <w:szCs w:val="21"/>
              </w:rPr>
              <w:t>报告</w:t>
            </w:r>
            <w:r>
              <w:rPr>
                <w:kern w:val="0"/>
                <w:sz w:val="21"/>
                <w:szCs w:val="21"/>
              </w:rPr>
              <w:t>费</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1.65</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6.5</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招标代理服务费</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0.62</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6.6</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经济技术咨询费</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0.11</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七</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一至五部分合计</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9.72</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52.7</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62.42</w:t>
            </w: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八</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基本预备费</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2.64</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九</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水土保持补偿费</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2.40</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十</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合计</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9.72</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57.74</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67.46</w:t>
            </w:r>
          </w:p>
        </w:tc>
      </w:tr>
    </w:tbl>
    <w:p>
      <w:pPr>
        <w:pStyle w:val="4"/>
        <w:spacing w:before="120"/>
      </w:pPr>
      <w:bookmarkStart w:id="93" w:name="_Toc515294473"/>
      <w:bookmarkStart w:id="94" w:name="_Toc489977042"/>
      <w:bookmarkStart w:id="95" w:name="_Toc496268086"/>
      <w:bookmarkStart w:id="96" w:name="_Toc484280825"/>
      <w:r>
        <w:t>工程实际完成水土保持投资</w:t>
      </w:r>
      <w:bookmarkEnd w:id="93"/>
      <w:bookmarkEnd w:id="94"/>
      <w:bookmarkEnd w:id="95"/>
      <w:bookmarkEnd w:id="96"/>
    </w:p>
    <w:p>
      <w:pPr>
        <w:spacing w:before="120"/>
        <w:ind w:firstLine="480"/>
      </w:pPr>
      <w:r>
        <w:t>通过认真核查项目合同、有关凭证资料，</w:t>
      </w:r>
      <w:r>
        <w:rPr>
          <w:rFonts w:hint="eastAsia"/>
          <w:lang w:eastAsia="zh-CN"/>
        </w:rPr>
        <w:t>甘孜雅江柯拉35千伏输变电工程</w:t>
      </w:r>
      <w:r>
        <w:t>水土保持工程共完成投资</w:t>
      </w:r>
      <w:r>
        <w:rPr>
          <w:rFonts w:hint="eastAsia"/>
          <w:lang w:val="en-US" w:eastAsia="zh-CN"/>
        </w:rPr>
        <w:t>67.15</w:t>
      </w:r>
      <w:r>
        <w:t>万元（最终以审计部门的审计结果为准），其中主体工程中具有水土保持功能的项目投资为</w:t>
      </w:r>
      <w:r>
        <w:rPr>
          <w:rFonts w:hint="eastAsia"/>
          <w:lang w:val="en-US" w:eastAsia="zh-CN"/>
        </w:rPr>
        <w:t>11.43</w:t>
      </w:r>
      <w:r>
        <w:t>万元，新增水土保持投资为</w:t>
      </w:r>
      <w:r>
        <w:rPr>
          <w:rFonts w:hint="eastAsia"/>
          <w:lang w:val="en-US" w:eastAsia="zh-CN"/>
        </w:rPr>
        <w:t>55.72</w:t>
      </w:r>
      <w:r>
        <w:t>万元。新增投资中工程措施</w:t>
      </w:r>
      <w:r>
        <w:rPr>
          <w:rFonts w:hint="eastAsia"/>
          <w:lang w:val="en-US" w:eastAsia="zh-CN"/>
        </w:rPr>
        <w:t>6.72</w:t>
      </w:r>
      <w:r>
        <w:t>万元，植物措施</w:t>
      </w:r>
      <w:r>
        <w:rPr>
          <w:rFonts w:hint="eastAsia"/>
          <w:lang w:val="en-US" w:eastAsia="zh-CN"/>
        </w:rPr>
        <w:t>0.75</w:t>
      </w:r>
      <w:r>
        <w:t>万元，临时措施</w:t>
      </w:r>
      <w:r>
        <w:rPr>
          <w:rFonts w:hint="eastAsia"/>
          <w:lang w:val="en-US" w:eastAsia="zh-CN"/>
        </w:rPr>
        <w:t>35.98</w:t>
      </w:r>
      <w:r>
        <w:t>万元，独立费用</w:t>
      </w:r>
      <w:r>
        <w:rPr>
          <w:rFonts w:hint="eastAsia"/>
          <w:lang w:val="en-US" w:eastAsia="zh-CN"/>
        </w:rPr>
        <w:t>9.87</w:t>
      </w:r>
      <w:r>
        <w:t>万元（其中建设管理</w:t>
      </w:r>
      <w:r>
        <w:rPr>
          <w:rFonts w:hint="eastAsia"/>
        </w:rPr>
        <w:t>费</w:t>
      </w:r>
      <w:r>
        <w:rPr>
          <w:rFonts w:hint="eastAsia"/>
          <w:lang w:val="en-US" w:eastAsia="zh-CN"/>
        </w:rPr>
        <w:t>0.87</w:t>
      </w:r>
      <w:r>
        <w:t>万元，科研勘测设计费</w:t>
      </w:r>
      <w:r>
        <w:rPr>
          <w:rFonts w:hint="eastAsia"/>
        </w:rPr>
        <w:t>5.00</w:t>
      </w:r>
      <w:r>
        <w:t>万元，</w:t>
      </w:r>
      <w:r>
        <w:rPr>
          <w:rFonts w:hint="eastAsia"/>
        </w:rPr>
        <w:t>水保设施</w:t>
      </w:r>
      <w:r>
        <w:t>验收报告编制费</w:t>
      </w:r>
      <w:r>
        <w:rPr>
          <w:rFonts w:hint="eastAsia"/>
        </w:rPr>
        <w:t>4.00</w:t>
      </w:r>
      <w:r>
        <w:t>万元），水土保持补偿费</w:t>
      </w:r>
      <w:r>
        <w:rPr>
          <w:rFonts w:hint="eastAsia"/>
          <w:lang w:val="en-US" w:eastAsia="zh-CN"/>
        </w:rPr>
        <w:t>2.40</w:t>
      </w:r>
      <w:r>
        <w:t>万元。实际完成水土保持投资详见表3.6-2。</w:t>
      </w:r>
    </w:p>
    <w:p>
      <w:pPr>
        <w:pStyle w:val="16"/>
      </w:pPr>
      <w:r>
        <w:rPr>
          <w:rFonts w:hint="eastAsia"/>
        </w:rPr>
        <w:t xml:space="preserve">   </w:t>
      </w:r>
      <w:r>
        <w:t>实际完成的水土保持投资一览表</w:t>
      </w:r>
      <w:r>
        <w:rPr>
          <w:vertAlign w:val="superscript"/>
        </w:rPr>
        <w:t xml:space="preserve">  </w:t>
      </w:r>
      <w:r>
        <w:t>单位：万元</w:t>
      </w:r>
    </w:p>
    <w:p>
      <w:pPr>
        <w:pStyle w:val="13"/>
      </w:pPr>
      <w:r>
        <w:t>表</w:t>
      </w:r>
      <w:r>
        <w:rPr>
          <w:vertAlign w:val="superscript"/>
        </w:rPr>
        <w:t xml:space="preserve"> </w:t>
      </w:r>
      <w:r>
        <w:fldChar w:fldCharType="begin"/>
      </w:r>
      <w:r>
        <w:instrText xml:space="preserve"> STYLEREF 2 \s </w:instrText>
      </w:r>
      <w:r>
        <w:fldChar w:fldCharType="separate"/>
      </w:r>
      <w:r>
        <w:t>3.6</w:t>
      </w:r>
      <w:r>
        <w:fldChar w:fldCharType="end"/>
      </w:r>
      <w:r>
        <w:noBreakHyphen/>
      </w:r>
      <w:r>
        <w:fldChar w:fldCharType="begin"/>
      </w:r>
      <w:r>
        <w:instrText xml:space="preserve"> SEQ 表 \* ARABIC \s 2 </w:instrText>
      </w:r>
      <w:r>
        <w:fldChar w:fldCharType="separate"/>
      </w:r>
      <w:r>
        <w:t>2</w:t>
      </w:r>
      <w:r>
        <w:fldChar w:fldCharType="end"/>
      </w:r>
    </w:p>
    <w:tbl>
      <w:tblPr>
        <w:tblStyle w:val="32"/>
        <w:tblW w:w="8328" w:type="dxa"/>
        <w:tblInd w:w="0" w:type="dxa"/>
        <w:tblLayout w:type="fixed"/>
        <w:tblCellMar>
          <w:top w:w="0" w:type="dxa"/>
          <w:left w:w="11" w:type="dxa"/>
          <w:bottom w:w="0" w:type="dxa"/>
          <w:right w:w="11" w:type="dxa"/>
        </w:tblCellMar>
      </w:tblPr>
      <w:tblGrid>
        <w:gridCol w:w="868"/>
        <w:gridCol w:w="3469"/>
        <w:gridCol w:w="1479"/>
        <w:gridCol w:w="1479"/>
        <w:gridCol w:w="1033"/>
      </w:tblGrid>
      <w:tr>
        <w:tblPrEx>
          <w:tblCellMar>
            <w:top w:w="0" w:type="dxa"/>
            <w:left w:w="11" w:type="dxa"/>
            <w:bottom w:w="0" w:type="dxa"/>
            <w:right w:w="11" w:type="dxa"/>
          </w:tblCellMar>
        </w:tblPrEx>
        <w:trPr>
          <w:trHeight w:val="340" w:hRule="atLeast"/>
          <w:tblHeader/>
        </w:trPr>
        <w:tc>
          <w:tcPr>
            <w:tcW w:w="868"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编号</w:t>
            </w:r>
          </w:p>
        </w:tc>
        <w:tc>
          <w:tcPr>
            <w:tcW w:w="3469"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工程或费用名称</w:t>
            </w:r>
          </w:p>
        </w:tc>
        <w:tc>
          <w:tcPr>
            <w:tcW w:w="3991"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方案批复投资</w:t>
            </w:r>
          </w:p>
        </w:tc>
      </w:tr>
      <w:tr>
        <w:tblPrEx>
          <w:tblCellMar>
            <w:top w:w="0" w:type="dxa"/>
            <w:left w:w="11" w:type="dxa"/>
            <w:bottom w:w="0" w:type="dxa"/>
            <w:right w:w="11" w:type="dxa"/>
          </w:tblCellMar>
        </w:tblPrEx>
        <w:trPr>
          <w:trHeight w:val="340" w:hRule="atLeast"/>
          <w:tblHeader/>
        </w:trPr>
        <w:tc>
          <w:tcPr>
            <w:tcW w:w="868" w:type="dxa"/>
            <w:vMerge w:val="continue"/>
            <w:tcBorders>
              <w:top w:val="single" w:color="auto" w:sz="4" w:space="0"/>
              <w:left w:val="single" w:color="auto" w:sz="4" w:space="0"/>
              <w:bottom w:val="single" w:color="000000" w:sz="4" w:space="0"/>
              <w:right w:val="single" w:color="auto" w:sz="4" w:space="0"/>
            </w:tcBorders>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3469" w:type="dxa"/>
            <w:vMerge w:val="continue"/>
            <w:tcBorders>
              <w:top w:val="single" w:color="auto" w:sz="4" w:space="0"/>
              <w:left w:val="single" w:color="auto" w:sz="4" w:space="0"/>
              <w:bottom w:val="single" w:color="000000" w:sz="4" w:space="0"/>
              <w:right w:val="single" w:color="auto" w:sz="4" w:space="0"/>
            </w:tcBorders>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主体已有</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方案新增</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合计</w:t>
            </w: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一</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第一部分</w:t>
            </w:r>
            <w:r>
              <w:rPr>
                <w:rFonts w:hint="eastAsia"/>
                <w:kern w:val="0"/>
                <w:sz w:val="21"/>
                <w:szCs w:val="21"/>
                <w:vertAlign w:val="superscript"/>
              </w:rPr>
              <w:t xml:space="preserve"> </w:t>
            </w:r>
            <w:r>
              <w:rPr>
                <w:rFonts w:hint="eastAsia"/>
                <w:kern w:val="0"/>
                <w:sz w:val="21"/>
                <w:szCs w:val="21"/>
              </w:rPr>
              <w:t>工程措施</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11.43</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6.72</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18.15</w:t>
            </w: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1.1</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vertAlign w:val="superscript"/>
              </w:rPr>
              <w:t xml:space="preserve"> </w:t>
            </w:r>
            <w:r>
              <w:rPr>
                <w:rFonts w:hint="eastAsia"/>
                <w:kern w:val="0"/>
                <w:sz w:val="21"/>
                <w:szCs w:val="21"/>
              </w:rPr>
              <w:t>变电站工程区</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6.88</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0.73</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1.2</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线路工程区</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4.55</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5.99</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二</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第二部分</w:t>
            </w:r>
            <w:r>
              <w:rPr>
                <w:rFonts w:hint="eastAsia"/>
                <w:kern w:val="0"/>
                <w:sz w:val="21"/>
                <w:szCs w:val="21"/>
                <w:vertAlign w:val="superscript"/>
              </w:rPr>
              <w:t xml:space="preserve"> </w:t>
            </w:r>
            <w:r>
              <w:rPr>
                <w:rFonts w:hint="eastAsia"/>
                <w:kern w:val="0"/>
                <w:sz w:val="21"/>
                <w:szCs w:val="21"/>
              </w:rPr>
              <w:t>植物措施</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0.75</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0.75</w:t>
            </w: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2.1</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vertAlign w:val="superscript"/>
              </w:rPr>
              <w:t xml:space="preserve"> </w:t>
            </w:r>
            <w:r>
              <w:rPr>
                <w:rFonts w:hint="eastAsia"/>
                <w:kern w:val="0"/>
                <w:sz w:val="21"/>
                <w:szCs w:val="21"/>
              </w:rPr>
              <w:t>变电站工程区</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ascii="Times New Roman" w:hAnsi="Times New Roman" w:eastAsia="仿宋_GB2312" w:cs="Times New Roman"/>
                <w:kern w:val="0"/>
                <w:sz w:val="21"/>
                <w:szCs w:val="21"/>
                <w:lang w:val="en-US" w:eastAsia="zh-CN" w:bidi="ar-SA"/>
              </w:rPr>
            </w:pPr>
            <w:r>
              <w:rPr>
                <w:rFonts w:hint="eastAsia" w:cs="Times New Roman"/>
                <w:kern w:val="0"/>
                <w:sz w:val="21"/>
                <w:szCs w:val="21"/>
                <w:lang w:val="en-US" w:eastAsia="zh-CN" w:bidi="ar-SA"/>
              </w:rPr>
              <w:t>0.004</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2.2</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线路工程区</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ascii="Times New Roman" w:hAnsi="Times New Roman" w:eastAsia="仿宋_GB2312" w:cs="Times New Roman"/>
                <w:kern w:val="0"/>
                <w:sz w:val="21"/>
                <w:szCs w:val="21"/>
                <w:lang w:val="en-US" w:eastAsia="zh-CN" w:bidi="ar-SA"/>
              </w:rPr>
            </w:pPr>
            <w:r>
              <w:rPr>
                <w:rFonts w:hint="eastAsia" w:cs="Times New Roman"/>
                <w:kern w:val="0"/>
                <w:sz w:val="21"/>
                <w:szCs w:val="21"/>
                <w:lang w:val="en-US" w:eastAsia="zh-CN" w:bidi="ar-SA"/>
              </w:rPr>
              <w:t>0.75</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三</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第三部分</w:t>
            </w:r>
            <w:r>
              <w:rPr>
                <w:rFonts w:hint="eastAsia"/>
                <w:kern w:val="0"/>
                <w:sz w:val="21"/>
                <w:szCs w:val="21"/>
                <w:vertAlign w:val="superscript"/>
              </w:rPr>
              <w:t xml:space="preserve"> </w:t>
            </w:r>
            <w:r>
              <w:rPr>
                <w:rFonts w:hint="eastAsia"/>
                <w:kern w:val="0"/>
                <w:sz w:val="21"/>
                <w:szCs w:val="21"/>
              </w:rPr>
              <w:t>监测措施</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0</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0</w:t>
            </w: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四</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第四部分</w:t>
            </w:r>
            <w:r>
              <w:rPr>
                <w:rFonts w:hint="eastAsia"/>
                <w:kern w:val="0"/>
                <w:sz w:val="21"/>
                <w:szCs w:val="21"/>
                <w:vertAlign w:val="superscript"/>
              </w:rPr>
              <w:t xml:space="preserve"> </w:t>
            </w:r>
            <w:r>
              <w:rPr>
                <w:rFonts w:hint="eastAsia"/>
                <w:kern w:val="0"/>
                <w:sz w:val="21"/>
                <w:szCs w:val="21"/>
              </w:rPr>
              <w:t>临时措施</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35.98</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35.98</w:t>
            </w: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4.1</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vertAlign w:val="superscript"/>
              </w:rPr>
              <w:t xml:space="preserve"> </w:t>
            </w:r>
            <w:r>
              <w:rPr>
                <w:rFonts w:hint="eastAsia"/>
                <w:kern w:val="0"/>
                <w:sz w:val="21"/>
                <w:szCs w:val="21"/>
              </w:rPr>
              <w:t>变电站工程区</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2.37</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4.2</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线路工程区</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33.50</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4.</w:t>
            </w:r>
            <w:r>
              <w:rPr>
                <w:rFonts w:hint="eastAsia"/>
                <w:kern w:val="0"/>
                <w:sz w:val="21"/>
                <w:szCs w:val="21"/>
              </w:rPr>
              <w:t>3</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其他临时工程</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0.11</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五</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一至四部分合计</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11.43</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43.45</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54.88</w:t>
            </w: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六</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第五部分</w:t>
            </w:r>
            <w:r>
              <w:rPr>
                <w:rFonts w:hint="eastAsia"/>
                <w:kern w:val="0"/>
                <w:sz w:val="21"/>
                <w:szCs w:val="21"/>
                <w:vertAlign w:val="superscript"/>
              </w:rPr>
              <w:t xml:space="preserve"> </w:t>
            </w:r>
            <w:r>
              <w:rPr>
                <w:rFonts w:hint="eastAsia"/>
                <w:kern w:val="0"/>
                <w:sz w:val="21"/>
                <w:szCs w:val="21"/>
              </w:rPr>
              <w:t>独立费用</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9.87</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9.87</w:t>
            </w: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6.1</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建设管理费</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0.87</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6.2</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科研勘测设计费</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5.00</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6.3</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水土保持监理费</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0</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6.4</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水保设施</w:t>
            </w:r>
            <w:r>
              <w:rPr>
                <w:kern w:val="0"/>
                <w:sz w:val="21"/>
                <w:szCs w:val="21"/>
              </w:rPr>
              <w:t>验收</w:t>
            </w:r>
            <w:r>
              <w:rPr>
                <w:rFonts w:hint="eastAsia"/>
                <w:kern w:val="0"/>
                <w:sz w:val="21"/>
                <w:szCs w:val="21"/>
              </w:rPr>
              <w:t>报告</w:t>
            </w:r>
            <w:r>
              <w:rPr>
                <w:kern w:val="0"/>
                <w:sz w:val="21"/>
                <w:szCs w:val="21"/>
              </w:rPr>
              <w:t>费</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4.00</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6.5</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招标代理服务费</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0</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6.6</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kern w:val="0"/>
                <w:sz w:val="21"/>
                <w:szCs w:val="21"/>
              </w:rPr>
              <w:t>经济技术咨询费</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0</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七</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一至五部分合计</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11.43</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53.32</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64.75</w:t>
            </w: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八</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基本预备费</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0</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九</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水土保持补偿费</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2.40</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p>
        </w:tc>
      </w:tr>
      <w:tr>
        <w:tblPrEx>
          <w:tblCellMar>
            <w:top w:w="0" w:type="dxa"/>
            <w:left w:w="11" w:type="dxa"/>
            <w:bottom w:w="0" w:type="dxa"/>
            <w:right w:w="11" w:type="dxa"/>
          </w:tblCellMar>
        </w:tblPrEx>
        <w:trPr>
          <w:trHeight w:val="34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十</w:t>
            </w:r>
          </w:p>
        </w:tc>
        <w:tc>
          <w:tcPr>
            <w:tcW w:w="34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1"/>
                <w:szCs w:val="21"/>
              </w:rPr>
            </w:pPr>
            <w:r>
              <w:rPr>
                <w:rFonts w:hint="eastAsia"/>
                <w:kern w:val="0"/>
                <w:sz w:val="21"/>
                <w:szCs w:val="21"/>
              </w:rPr>
              <w:t>合计</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11.43</w:t>
            </w:r>
          </w:p>
        </w:tc>
        <w:tc>
          <w:tcPr>
            <w:tcW w:w="147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55.72</w:t>
            </w:r>
          </w:p>
        </w:tc>
        <w:tc>
          <w:tcPr>
            <w:tcW w:w="103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1"/>
                <w:szCs w:val="21"/>
                <w:lang w:val="en-US" w:eastAsia="zh-CN"/>
              </w:rPr>
            </w:pPr>
            <w:r>
              <w:rPr>
                <w:rFonts w:hint="eastAsia"/>
                <w:kern w:val="0"/>
                <w:sz w:val="21"/>
                <w:szCs w:val="21"/>
                <w:lang w:val="en-US" w:eastAsia="zh-CN"/>
              </w:rPr>
              <w:t>67.15</w:t>
            </w:r>
          </w:p>
        </w:tc>
      </w:tr>
    </w:tbl>
    <w:p>
      <w:pPr>
        <w:adjustRightInd/>
        <w:snapToGrid/>
        <w:spacing w:beforeLines="0" w:line="240" w:lineRule="auto"/>
        <w:ind w:firstLine="0" w:firstLineChars="0"/>
        <w:jc w:val="left"/>
        <w:rPr>
          <w:b/>
          <w:kern w:val="0"/>
          <w:szCs w:val="20"/>
        </w:rPr>
      </w:pPr>
      <w:r>
        <w:br w:type="page"/>
      </w:r>
    </w:p>
    <w:p>
      <w:pPr>
        <w:pStyle w:val="4"/>
        <w:spacing w:before="120"/>
      </w:pPr>
      <w:bookmarkStart w:id="97" w:name="_Toc515294474"/>
      <w:r>
        <w:t>方案批复投资与实际完成投资对比</w:t>
      </w:r>
      <w:bookmarkEnd w:id="97"/>
    </w:p>
    <w:p>
      <w:pPr>
        <w:spacing w:before="120"/>
        <w:ind w:firstLine="480"/>
      </w:pPr>
      <w:r>
        <w:t>本工程实际完成水土保持投资</w:t>
      </w:r>
      <w:r>
        <w:rPr>
          <w:rFonts w:hint="eastAsia"/>
          <w:lang w:val="en-US" w:eastAsia="zh-CN"/>
        </w:rPr>
        <w:t>67.15</w:t>
      </w:r>
      <w:r>
        <w:t>万元，比批复的水土保持投资减少</w:t>
      </w:r>
      <w:r>
        <w:rPr>
          <w:rFonts w:hint="eastAsia"/>
          <w:lang w:val="en-US" w:eastAsia="zh-CN"/>
        </w:rPr>
        <w:t>0.31</w:t>
      </w:r>
      <w:r>
        <w:t>万元，其中主体</w:t>
      </w:r>
      <w:r>
        <w:rPr>
          <w:rFonts w:hint="eastAsia"/>
        </w:rPr>
        <w:t>设计</w:t>
      </w:r>
      <w:r>
        <w:t>水土保持措施投资</w:t>
      </w:r>
      <w:r>
        <w:rPr>
          <w:rFonts w:hint="eastAsia"/>
        </w:rPr>
        <w:t>增加</w:t>
      </w:r>
      <w:r>
        <w:rPr>
          <w:rFonts w:hint="eastAsia"/>
          <w:lang w:val="en-US" w:eastAsia="zh-CN"/>
        </w:rPr>
        <w:t>1.71</w:t>
      </w:r>
      <w:r>
        <w:rPr>
          <w:rFonts w:hint="eastAsia"/>
        </w:rPr>
        <w:t>万元</w:t>
      </w:r>
      <w:r>
        <w:t>，水保方案新增投资减少</w:t>
      </w:r>
      <w:r>
        <w:rPr>
          <w:rFonts w:hint="eastAsia"/>
          <w:lang w:val="en-US" w:eastAsia="zh-CN"/>
        </w:rPr>
        <w:t>2.02</w:t>
      </w:r>
      <w:r>
        <w:t>万元。水土保持方案批复投资与实际完成投资对比见表3.6-</w:t>
      </w:r>
      <w:r>
        <w:rPr>
          <w:rFonts w:hint="eastAsia"/>
        </w:rPr>
        <w:t>3</w:t>
      </w:r>
      <w:r>
        <w:t>。</w:t>
      </w:r>
    </w:p>
    <w:p>
      <w:pPr>
        <w:pStyle w:val="16"/>
      </w:pPr>
      <w:r>
        <w:t>水土保持方案批复投资与实际完成投资对比表</w:t>
      </w:r>
      <w:r>
        <w:rPr>
          <w:vertAlign w:val="superscript"/>
        </w:rPr>
        <w:t xml:space="preserve">   </w:t>
      </w:r>
      <w:r>
        <w:t>单位：万元</w:t>
      </w:r>
    </w:p>
    <w:p>
      <w:pPr>
        <w:pStyle w:val="13"/>
      </w:pPr>
      <w:r>
        <w:t>表</w:t>
      </w:r>
      <w:r>
        <w:rPr>
          <w:vertAlign w:val="superscript"/>
        </w:rPr>
        <w:t xml:space="preserve"> </w:t>
      </w:r>
      <w:r>
        <w:fldChar w:fldCharType="begin"/>
      </w:r>
      <w:r>
        <w:instrText xml:space="preserve"> STYLEREF 2 \s </w:instrText>
      </w:r>
      <w:r>
        <w:fldChar w:fldCharType="separate"/>
      </w:r>
      <w:r>
        <w:t>3.6</w:t>
      </w:r>
      <w:r>
        <w:fldChar w:fldCharType="end"/>
      </w:r>
      <w:r>
        <w:noBreakHyphen/>
      </w:r>
      <w:r>
        <w:rPr>
          <w:rFonts w:hint="eastAsia"/>
        </w:rPr>
        <w:t>3</w:t>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389"/>
        <w:gridCol w:w="2172"/>
        <w:gridCol w:w="671"/>
        <w:gridCol w:w="671"/>
        <w:gridCol w:w="833"/>
        <w:gridCol w:w="3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blHeader/>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序号</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工程名称</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方案批复投资</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实际完成投资</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增减</w:t>
            </w:r>
            <w:r>
              <w:rPr>
                <w:color w:val="auto"/>
              </w:rPr>
              <w:t>(+</w:t>
            </w:r>
            <w:r>
              <w:rPr>
                <w:rFonts w:hint="eastAsia"/>
                <w:color w:val="auto"/>
              </w:rPr>
              <w:t>，</w:t>
            </w:r>
            <w:r>
              <w:rPr>
                <w:color w:val="auto"/>
              </w:rPr>
              <w:t>-)</w:t>
            </w:r>
          </w:p>
        </w:tc>
        <w:tc>
          <w:tcPr>
            <w:tcW w:w="359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561" w:type="dxa"/>
            <w:gridSpan w:val="2"/>
            <w:shd w:val="clear" w:color="auto" w:fill="auto"/>
            <w:vAlign w:val="center"/>
          </w:tcPr>
          <w:p>
            <w:pPr>
              <w:pStyle w:val="52"/>
              <w:keepNext w:val="0"/>
              <w:keepLines w:val="0"/>
              <w:widowControl/>
              <w:suppressLineNumbers w:val="0"/>
              <w:spacing w:before="0" w:beforeAutospacing="0" w:after="0" w:afterAutospacing="0"/>
              <w:ind w:left="0" w:right="0"/>
              <w:rPr>
                <w:b/>
                <w:bCs/>
                <w:color w:val="auto"/>
              </w:rPr>
            </w:pPr>
            <w:r>
              <w:rPr>
                <w:rFonts w:hint="eastAsia"/>
                <w:b/>
                <w:bCs/>
                <w:color w:val="auto"/>
              </w:rPr>
              <w:t>主体设计投资</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bCs/>
                <w:color w:val="auto"/>
                <w:lang w:val="en-US" w:eastAsia="zh-CN"/>
              </w:rPr>
            </w:pPr>
            <w:r>
              <w:rPr>
                <w:rFonts w:hint="eastAsia"/>
                <w:b/>
                <w:bCs/>
                <w:color w:val="auto"/>
                <w:lang w:val="en-US" w:eastAsia="zh-CN"/>
              </w:rPr>
              <w:t>9.72</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bCs/>
                <w:color w:val="auto"/>
                <w:lang w:val="en-US" w:eastAsia="zh-CN"/>
              </w:rPr>
            </w:pPr>
            <w:r>
              <w:rPr>
                <w:rFonts w:hint="eastAsia"/>
                <w:b/>
                <w:bCs/>
                <w:color w:val="auto"/>
                <w:lang w:val="en-US" w:eastAsia="zh-CN"/>
              </w:rPr>
              <w:t>11.43</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bCs/>
                <w:color w:val="auto"/>
                <w:lang w:val="en-US" w:eastAsia="zh-CN"/>
              </w:rPr>
            </w:pPr>
            <w:r>
              <w:rPr>
                <w:rFonts w:hint="eastAsia"/>
                <w:b/>
                <w:bCs/>
                <w:color w:val="auto"/>
                <w:lang w:val="en-US" w:eastAsia="zh-CN"/>
              </w:rPr>
              <w:t>+1.71</w:t>
            </w:r>
          </w:p>
        </w:tc>
        <w:tc>
          <w:tcPr>
            <w:tcW w:w="3592" w:type="dxa"/>
            <w:shd w:val="clear" w:color="auto" w:fill="auto"/>
            <w:vAlign w:val="center"/>
          </w:tcPr>
          <w:p>
            <w:pPr>
              <w:pStyle w:val="52"/>
              <w:keepNext w:val="0"/>
              <w:keepLines w:val="0"/>
              <w:widowControl/>
              <w:suppressLineNumbers w:val="0"/>
              <w:spacing w:before="0" w:beforeAutospacing="0" w:after="0" w:afterAutospacing="0"/>
              <w:ind w:left="0" w:right="0"/>
              <w:rPr>
                <w:b/>
                <w:bCs/>
                <w:color w:val="auto"/>
              </w:rPr>
            </w:pPr>
            <w:r>
              <w:rPr>
                <w:b/>
                <w:bCs/>
                <w:color w:va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一</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工程措施</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9.72</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11.43</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+1.71</w:t>
            </w:r>
          </w:p>
        </w:tc>
        <w:tc>
          <w:tcPr>
            <w:tcW w:w="359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1</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变电站工程区</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6.42</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6.88</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+0.46</w:t>
            </w:r>
          </w:p>
        </w:tc>
        <w:tc>
          <w:tcPr>
            <w:tcW w:w="3592"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实际主体设计实施的排水措施工程量有所增加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2</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线路工程区</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3.30</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4.55</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+1.25</w:t>
            </w:r>
          </w:p>
        </w:tc>
        <w:tc>
          <w:tcPr>
            <w:tcW w:w="35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561" w:type="dxa"/>
            <w:gridSpan w:val="2"/>
            <w:shd w:val="clear" w:color="auto" w:fill="auto"/>
            <w:vAlign w:val="center"/>
          </w:tcPr>
          <w:p>
            <w:pPr>
              <w:pStyle w:val="52"/>
              <w:keepNext w:val="0"/>
              <w:keepLines w:val="0"/>
              <w:widowControl/>
              <w:suppressLineNumbers w:val="0"/>
              <w:spacing w:before="0" w:beforeAutospacing="0" w:after="0" w:afterAutospacing="0"/>
              <w:ind w:left="0" w:right="0"/>
              <w:rPr>
                <w:b/>
                <w:bCs/>
                <w:color w:val="auto"/>
              </w:rPr>
            </w:pPr>
            <w:r>
              <w:rPr>
                <w:rFonts w:hint="eastAsia"/>
                <w:b/>
                <w:bCs/>
                <w:color w:val="auto"/>
              </w:rPr>
              <w:t>方案新增投资</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bCs/>
                <w:color w:val="auto"/>
                <w:lang w:val="en-US" w:eastAsia="zh-CN"/>
              </w:rPr>
            </w:pPr>
            <w:r>
              <w:rPr>
                <w:rFonts w:hint="eastAsia"/>
                <w:b/>
                <w:bCs/>
                <w:color w:val="auto"/>
                <w:lang w:val="en-US" w:eastAsia="zh-CN"/>
              </w:rPr>
              <w:t>57.74</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bCs/>
                <w:color w:val="auto"/>
                <w:lang w:val="en-US" w:eastAsia="zh-CN"/>
              </w:rPr>
            </w:pPr>
            <w:r>
              <w:rPr>
                <w:rFonts w:hint="eastAsia"/>
                <w:b/>
                <w:bCs/>
                <w:color w:val="auto"/>
                <w:lang w:val="en-US" w:eastAsia="zh-CN"/>
              </w:rPr>
              <w:t>55.72</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bCs/>
                <w:color w:val="auto"/>
                <w:lang w:val="en-US" w:eastAsia="zh-CN"/>
              </w:rPr>
            </w:pPr>
            <w:r>
              <w:rPr>
                <w:rFonts w:hint="eastAsia"/>
                <w:b/>
                <w:bCs/>
                <w:color w:val="auto"/>
                <w:lang w:val="en-US" w:eastAsia="zh-CN"/>
              </w:rPr>
              <w:t>-2.02</w:t>
            </w:r>
          </w:p>
        </w:tc>
        <w:tc>
          <w:tcPr>
            <w:tcW w:w="3592" w:type="dxa"/>
            <w:shd w:val="clear" w:color="auto" w:fill="auto"/>
            <w:vAlign w:val="center"/>
          </w:tcPr>
          <w:p>
            <w:pPr>
              <w:pStyle w:val="52"/>
              <w:keepNext w:val="0"/>
              <w:keepLines w:val="0"/>
              <w:widowControl/>
              <w:suppressLineNumbers w:val="0"/>
              <w:spacing w:before="0" w:beforeAutospacing="0" w:after="0" w:afterAutospacing="0"/>
              <w:ind w:left="0" w:right="0"/>
              <w:rPr>
                <w:b/>
                <w:bCs/>
                <w:color w:val="auto"/>
              </w:rPr>
            </w:pPr>
            <w:r>
              <w:rPr>
                <w:b/>
                <w:bCs/>
                <w:color w:va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一</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第一部分 工程措施</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8.29</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6.72</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-1.57</w:t>
            </w:r>
          </w:p>
        </w:tc>
        <w:tc>
          <w:tcPr>
            <w:tcW w:w="359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1.1</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变电站工程区</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1.10</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0.73</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-0.37</w:t>
            </w:r>
          </w:p>
        </w:tc>
        <w:tc>
          <w:tcPr>
            <w:tcW w:w="359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lang w:val="en-US" w:eastAsia="zh-CN"/>
              </w:rPr>
              <w:t>取消了弃土区，相应措施减少</w:t>
            </w:r>
            <w:r>
              <w:rPr>
                <w:color w:va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1.2</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线路工程区</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7.19</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5.88</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-1.31</w:t>
            </w:r>
          </w:p>
        </w:tc>
        <w:tc>
          <w:tcPr>
            <w:tcW w:w="3592"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草袋防护取消，调整至临时措施土袋防护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二</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第二部分 植物措施</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0.31</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0.75</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+0.44</w:t>
            </w:r>
          </w:p>
        </w:tc>
        <w:tc>
          <w:tcPr>
            <w:tcW w:w="359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2.1</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变电站工程区</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0.01</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0.004</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-0.01</w:t>
            </w:r>
          </w:p>
        </w:tc>
        <w:tc>
          <w:tcPr>
            <w:tcW w:w="3592"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因项目区气候原因，为保证植被恢复，增加了单位面积撒草数量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2.2</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线路工程区</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0.30</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0.75</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+0.45</w:t>
            </w:r>
          </w:p>
        </w:tc>
        <w:tc>
          <w:tcPr>
            <w:tcW w:w="35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三</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第三部分 监测措施</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4.76</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-4.76</w:t>
            </w:r>
          </w:p>
        </w:tc>
        <w:tc>
          <w:tcPr>
            <w:tcW w:w="359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3.1</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设备及安装费</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3.11</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-3.11</w:t>
            </w:r>
          </w:p>
        </w:tc>
        <w:tc>
          <w:tcPr>
            <w:tcW w:w="3592"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　</w:t>
            </w:r>
            <w:r>
              <w:rPr>
                <w:rFonts w:hint="eastAsia"/>
                <w:color w:val="auto"/>
              </w:rPr>
              <w:t>根据川水函</w:t>
            </w:r>
            <w:r>
              <w:rPr>
                <w:color w:val="auto"/>
              </w:rPr>
              <w:t>[2018]887</w:t>
            </w:r>
            <w:r>
              <w:rPr>
                <w:rFonts w:hint="eastAsia"/>
                <w:color w:val="auto"/>
              </w:rPr>
              <w:t>号文，征占地</w:t>
            </w:r>
            <w:r>
              <w:rPr>
                <w:color w:val="auto"/>
              </w:rPr>
              <w:t>10</w:t>
            </w:r>
            <w:r>
              <w:rPr>
                <w:rFonts w:hint="eastAsia"/>
                <w:color w:val="auto"/>
              </w:rPr>
              <w:t>公顷以下项目可不提供监测报告，实际不再计列费用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3.2</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建设期观测运行费</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1.65</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-1.65</w:t>
            </w:r>
          </w:p>
        </w:tc>
        <w:tc>
          <w:tcPr>
            <w:tcW w:w="35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四</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第四部分 临时措施</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31.37</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35.98</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+4.61</w:t>
            </w:r>
          </w:p>
        </w:tc>
        <w:tc>
          <w:tcPr>
            <w:tcW w:w="359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4.1</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变电站工程区</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1.95</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2.37</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+0.42</w:t>
            </w:r>
          </w:p>
        </w:tc>
        <w:tc>
          <w:tcPr>
            <w:tcW w:w="3592" w:type="dxa"/>
            <w:vMerge w:val="restart"/>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根据实际情况取消沉沙凼，增加了防雨布临时遮盖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4.2</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线路工程区</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29.22</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33.50</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+4.28</w:t>
            </w:r>
          </w:p>
        </w:tc>
        <w:tc>
          <w:tcPr>
            <w:tcW w:w="35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4.</w:t>
            </w:r>
            <w:r>
              <w:rPr>
                <w:rFonts w:hint="eastAsia"/>
                <w:color w:val="auto"/>
              </w:rPr>
              <w:t>3</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其他临时工程</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0.20</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0.11</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-0.09</w:t>
            </w:r>
          </w:p>
        </w:tc>
        <w:tc>
          <w:tcPr>
            <w:tcW w:w="359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五</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一至四部分合计</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44.73</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43.45</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-1.28</w:t>
            </w:r>
          </w:p>
        </w:tc>
        <w:tc>
          <w:tcPr>
            <w:tcW w:w="359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六</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第五部分 独立费用</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7.97</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9.87</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+1.9</w:t>
            </w:r>
          </w:p>
        </w:tc>
        <w:tc>
          <w:tcPr>
            <w:tcW w:w="359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6.1</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建设管理费</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0.89</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0.87</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-0.02</w:t>
            </w:r>
          </w:p>
        </w:tc>
        <w:tc>
          <w:tcPr>
            <w:tcW w:w="359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根据实际计列</w:t>
            </w:r>
            <w:r>
              <w:rPr>
                <w:color w:va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6.2</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科研勘测设计费</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3.52</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5.00</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+1.48</w:t>
            </w:r>
          </w:p>
        </w:tc>
        <w:tc>
          <w:tcPr>
            <w:tcW w:w="359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根据实际计列</w:t>
            </w:r>
            <w:r>
              <w:rPr>
                <w:color w:va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6.3</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水土保持监理费</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1.18</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-1.18</w:t>
            </w:r>
          </w:p>
        </w:tc>
        <w:tc>
          <w:tcPr>
            <w:tcW w:w="359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由主体工程监理实施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6.4</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szCs w:val="21"/>
              </w:rPr>
              <w:t>水保设施</w:t>
            </w:r>
            <w:r>
              <w:rPr>
                <w:szCs w:val="21"/>
              </w:rPr>
              <w:t>验收</w:t>
            </w:r>
            <w:r>
              <w:rPr>
                <w:rFonts w:hint="eastAsia"/>
                <w:szCs w:val="21"/>
              </w:rPr>
              <w:t>报告</w:t>
            </w:r>
            <w:r>
              <w:rPr>
                <w:szCs w:val="21"/>
              </w:rPr>
              <w:t>费</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1.65</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4.00</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+2.35</w:t>
            </w:r>
          </w:p>
        </w:tc>
        <w:tc>
          <w:tcPr>
            <w:tcW w:w="359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根据实际计列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6.5</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招标代理服务费</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0.62</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-0.62</w:t>
            </w:r>
          </w:p>
        </w:tc>
        <w:tc>
          <w:tcPr>
            <w:tcW w:w="3592"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实际未发生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6.6</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经济技术咨询费</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0.11</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-0.11</w:t>
            </w:r>
          </w:p>
        </w:tc>
        <w:tc>
          <w:tcPr>
            <w:tcW w:w="3592" w:type="dxa"/>
            <w:vMerge w:val="continue"/>
            <w:shd w:val="clear" w:color="auto" w:fill="auto"/>
            <w:vAlign w:val="center"/>
          </w:tcPr>
          <w:p>
            <w:pPr>
              <w:pStyle w:val="52"/>
              <w:keepNext w:val="0"/>
              <w:keepLines w:val="0"/>
              <w:widowControl/>
              <w:suppressLineNumbers w:val="0"/>
              <w:spacing w:before="0" w:beforeAutospacing="0" w:after="0" w:afterAutospacing="0"/>
              <w:ind w:left="0" w:right="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七</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一至五部分合计</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52.7</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53.32</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-0.62</w:t>
            </w:r>
          </w:p>
        </w:tc>
        <w:tc>
          <w:tcPr>
            <w:tcW w:w="359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八</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基本预备费</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2.64</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-2.64</w:t>
            </w:r>
          </w:p>
        </w:tc>
        <w:tc>
          <w:tcPr>
            <w:tcW w:w="359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工程建成，预备费未发生取消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89"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九</w:t>
            </w:r>
          </w:p>
        </w:tc>
        <w:tc>
          <w:tcPr>
            <w:tcW w:w="217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水土保持补偿费</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2.40</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2.40</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0</w:t>
            </w:r>
          </w:p>
        </w:tc>
        <w:tc>
          <w:tcPr>
            <w:tcW w:w="3592" w:type="dxa"/>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561" w:type="dxa"/>
            <w:gridSpan w:val="2"/>
            <w:shd w:val="clear" w:color="auto" w:fill="auto"/>
            <w:vAlign w:val="center"/>
          </w:tcPr>
          <w:p>
            <w:pPr>
              <w:pStyle w:val="52"/>
              <w:keepNext w:val="0"/>
              <w:keepLines w:val="0"/>
              <w:widowControl/>
              <w:suppressLineNumbers w:val="0"/>
              <w:spacing w:before="0" w:beforeAutospacing="0" w:after="0" w:afterAutospacing="0"/>
              <w:ind w:left="0" w:right="0"/>
              <w:rPr>
                <w:b/>
                <w:bCs/>
                <w:color w:val="auto"/>
              </w:rPr>
            </w:pPr>
            <w:r>
              <w:rPr>
                <w:b/>
                <w:bCs/>
                <w:color w:val="auto"/>
              </w:rPr>
              <w:t>合计</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bCs/>
                <w:color w:val="auto"/>
                <w:lang w:val="en-US" w:eastAsia="zh-CN"/>
              </w:rPr>
            </w:pPr>
            <w:r>
              <w:rPr>
                <w:rFonts w:hint="eastAsia"/>
                <w:b/>
                <w:bCs/>
                <w:color w:val="auto"/>
                <w:lang w:val="en-US" w:eastAsia="zh-CN"/>
              </w:rPr>
              <w:t>67.46</w:t>
            </w:r>
          </w:p>
        </w:tc>
        <w:tc>
          <w:tcPr>
            <w:tcW w:w="67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bCs/>
                <w:color w:val="auto"/>
                <w:lang w:val="en-US" w:eastAsia="zh-CN"/>
              </w:rPr>
            </w:pPr>
            <w:r>
              <w:rPr>
                <w:rFonts w:hint="eastAsia"/>
                <w:b/>
                <w:bCs/>
                <w:color w:val="auto"/>
                <w:lang w:val="en-US" w:eastAsia="zh-CN"/>
              </w:rPr>
              <w:t>67.15</w:t>
            </w:r>
          </w:p>
        </w:tc>
        <w:tc>
          <w:tcPr>
            <w:tcW w:w="83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b/>
                <w:bCs/>
                <w:color w:val="auto"/>
                <w:lang w:val="en-US" w:eastAsia="zh-CN"/>
              </w:rPr>
            </w:pPr>
            <w:r>
              <w:rPr>
                <w:rFonts w:hint="eastAsia"/>
                <w:b/>
                <w:bCs/>
                <w:color w:val="auto"/>
                <w:lang w:val="en-US" w:eastAsia="zh-CN"/>
              </w:rPr>
              <w:t>-0.31</w:t>
            </w:r>
          </w:p>
        </w:tc>
        <w:tc>
          <w:tcPr>
            <w:tcW w:w="3592" w:type="dxa"/>
            <w:shd w:val="clear" w:color="auto" w:fill="auto"/>
            <w:vAlign w:val="center"/>
          </w:tcPr>
          <w:p>
            <w:pPr>
              <w:pStyle w:val="52"/>
              <w:keepNext w:val="0"/>
              <w:keepLines w:val="0"/>
              <w:widowControl/>
              <w:suppressLineNumbers w:val="0"/>
              <w:spacing w:before="0" w:beforeAutospacing="0" w:after="0" w:afterAutospacing="0"/>
              <w:ind w:left="0" w:right="0"/>
              <w:rPr>
                <w:b/>
                <w:bCs/>
                <w:color w:val="auto"/>
              </w:rPr>
            </w:pPr>
            <w:r>
              <w:rPr>
                <w:b/>
                <w:bCs/>
                <w:color w:val="auto"/>
              </w:rPr>
              <w:t>　</w:t>
            </w:r>
          </w:p>
        </w:tc>
      </w:tr>
    </w:tbl>
    <w:p>
      <w:pPr>
        <w:pStyle w:val="4"/>
        <w:spacing w:before="120"/>
      </w:pPr>
      <w:bookmarkStart w:id="98" w:name="_Toc496268089"/>
      <w:bookmarkStart w:id="99" w:name="_Toc25345"/>
      <w:bookmarkStart w:id="100" w:name="_Toc7313"/>
      <w:bookmarkStart w:id="101" w:name="_Toc11682"/>
      <w:bookmarkStart w:id="102" w:name="_Toc515294475"/>
      <w:bookmarkStart w:id="103" w:name="_Toc489977045"/>
      <w:bookmarkStart w:id="104" w:name="_Toc484280827"/>
      <w:r>
        <w:t>水土保持投资分析</w:t>
      </w:r>
      <w:bookmarkEnd w:id="98"/>
      <w:bookmarkEnd w:id="99"/>
      <w:bookmarkEnd w:id="100"/>
      <w:bookmarkEnd w:id="101"/>
      <w:bookmarkEnd w:id="102"/>
      <w:bookmarkEnd w:id="103"/>
      <w:bookmarkEnd w:id="104"/>
    </w:p>
    <w:p>
      <w:pPr>
        <w:pStyle w:val="5"/>
        <w:spacing w:before="120"/>
      </w:pPr>
      <w:r>
        <w:t>主体已有水土保持措施投资变化原因分析</w:t>
      </w:r>
    </w:p>
    <w:p>
      <w:pPr>
        <w:spacing w:before="120"/>
        <w:ind w:firstLine="480"/>
      </w:pPr>
      <w:r>
        <w:t>施工实际主体设计</w:t>
      </w:r>
      <w:r>
        <w:rPr>
          <w:rFonts w:hint="eastAsia"/>
        </w:rPr>
        <w:t>实施的水土保持投资较</w:t>
      </w:r>
      <w:r>
        <w:t>水保方案</w:t>
      </w:r>
      <w:r>
        <w:rPr>
          <w:rFonts w:hint="eastAsia"/>
        </w:rPr>
        <w:t>增加</w:t>
      </w:r>
      <w:r>
        <w:rPr>
          <w:rFonts w:hint="eastAsia"/>
          <w:lang w:val="en-US" w:eastAsia="zh-CN"/>
        </w:rPr>
        <w:t>1.71</w:t>
      </w:r>
      <w:r>
        <w:rPr>
          <w:rFonts w:hint="eastAsia"/>
        </w:rPr>
        <w:t>万元，主要是因为主体设计实施的排水设施长度有所增加，投资亦相应增加</w:t>
      </w:r>
      <w:r>
        <w:t>。</w:t>
      </w:r>
    </w:p>
    <w:p>
      <w:pPr>
        <w:pStyle w:val="5"/>
        <w:spacing w:before="120"/>
      </w:pPr>
      <w:r>
        <w:t>方案新增水土保持措施投资变化原因分析</w:t>
      </w:r>
    </w:p>
    <w:p>
      <w:pPr>
        <w:spacing w:before="120"/>
        <w:ind w:firstLine="480"/>
      </w:pPr>
      <w:r>
        <w:t>方案新增水土保持措施投资减少</w:t>
      </w:r>
      <w:r>
        <w:rPr>
          <w:rFonts w:hint="eastAsia"/>
          <w:lang w:val="en-US" w:eastAsia="zh-CN"/>
        </w:rPr>
        <w:t>0.31</w:t>
      </w:r>
      <w:r>
        <w:t>万元，其中</w:t>
      </w:r>
      <w:r>
        <w:rPr>
          <w:rFonts w:hint="eastAsia"/>
          <w:lang w:val="en-US" w:eastAsia="zh-CN"/>
        </w:rPr>
        <w:t>工程措施减少1.57万元，</w:t>
      </w:r>
      <w:r>
        <w:t>植物措施投资增加</w:t>
      </w:r>
      <w:r>
        <w:rPr>
          <w:rFonts w:hint="eastAsia"/>
        </w:rPr>
        <w:t>0.</w:t>
      </w:r>
      <w:r>
        <w:rPr>
          <w:rFonts w:hint="eastAsia"/>
          <w:lang w:val="en-US" w:eastAsia="zh-CN"/>
        </w:rPr>
        <w:t>44</w:t>
      </w:r>
      <w:r>
        <w:t>万元，</w:t>
      </w:r>
      <w:r>
        <w:rPr>
          <w:rFonts w:hint="eastAsia"/>
        </w:rPr>
        <w:t>监测费用减少</w:t>
      </w:r>
      <w:r>
        <w:rPr>
          <w:rFonts w:hint="eastAsia"/>
          <w:lang w:val="en-US" w:eastAsia="zh-CN"/>
        </w:rPr>
        <w:t>4.76</w:t>
      </w:r>
      <w:r>
        <w:rPr>
          <w:rFonts w:hint="eastAsia"/>
        </w:rPr>
        <w:t>万元，</w:t>
      </w:r>
      <w:r>
        <w:t>临时措施投资</w:t>
      </w:r>
      <w:r>
        <w:rPr>
          <w:rFonts w:hint="eastAsia"/>
        </w:rPr>
        <w:t>增加</w:t>
      </w:r>
      <w:r>
        <w:rPr>
          <w:rFonts w:hint="eastAsia"/>
          <w:lang w:val="en-US" w:eastAsia="zh-CN"/>
        </w:rPr>
        <w:t>4.61</w:t>
      </w:r>
      <w:r>
        <w:t>万元，独立费用</w:t>
      </w:r>
      <w:r>
        <w:rPr>
          <w:rFonts w:hint="eastAsia"/>
          <w:lang w:val="en-US" w:eastAsia="zh-CN"/>
        </w:rPr>
        <w:t>增加1.90</w:t>
      </w:r>
      <w:r>
        <w:t>万元，基本预备费减少</w:t>
      </w:r>
      <w:r>
        <w:rPr>
          <w:rFonts w:hint="eastAsia"/>
          <w:lang w:val="en-US" w:eastAsia="zh-CN"/>
        </w:rPr>
        <w:t>2.64</w:t>
      </w:r>
      <w:r>
        <w:t>万元，投资变化主要原因如下：</w:t>
      </w:r>
    </w:p>
    <w:p>
      <w:pPr>
        <w:numPr>
          <w:ilvl w:val="0"/>
          <w:numId w:val="4"/>
        </w:numPr>
        <w:spacing w:before="120"/>
        <w:ind w:firstLine="480"/>
      </w:pPr>
      <w:r>
        <w:rPr>
          <w:rFonts w:hint="eastAsia"/>
          <w:lang w:val="en-US" w:eastAsia="zh-CN"/>
        </w:rPr>
        <w:t>因为弃土点区取消，相应工程措施取消；线路工程区草袋挡护措施与临时措施重复，取消，因此工程措施费减少1.57万元。</w:t>
      </w:r>
    </w:p>
    <w:p>
      <w:pPr>
        <w:numPr>
          <w:ilvl w:val="0"/>
          <w:numId w:val="4"/>
        </w:numPr>
        <w:spacing w:before="120"/>
        <w:ind w:firstLine="480"/>
      </w:pPr>
      <w:r>
        <w:rPr>
          <w:rFonts w:hint="eastAsia"/>
        </w:rPr>
        <w:t>因项目区气候原因，为保证植被恢复，增加了单位面积撒草数量，因此植物措施费增加0.</w:t>
      </w:r>
      <w:r>
        <w:rPr>
          <w:rFonts w:hint="eastAsia"/>
          <w:lang w:val="en-US" w:eastAsia="zh-CN"/>
        </w:rPr>
        <w:t>44</w:t>
      </w:r>
      <w:r>
        <w:rPr>
          <w:rFonts w:hint="eastAsia"/>
        </w:rPr>
        <w:t>万元。</w:t>
      </w:r>
    </w:p>
    <w:p>
      <w:pPr>
        <w:numPr>
          <w:ilvl w:val="0"/>
          <w:numId w:val="4"/>
        </w:numPr>
        <w:spacing w:before="120"/>
        <w:ind w:firstLine="480"/>
      </w:pPr>
      <w:r>
        <w:rPr>
          <w:rFonts w:hint="eastAsia"/>
        </w:rPr>
        <w:t>施工过程中，各区根据</w:t>
      </w:r>
      <w:r>
        <w:rPr>
          <w:rFonts w:hint="eastAsia"/>
          <w:lang w:val="en-US" w:eastAsia="zh-CN"/>
        </w:rPr>
        <w:t>施工</w:t>
      </w:r>
      <w:r>
        <w:rPr>
          <w:rFonts w:hint="eastAsia"/>
        </w:rPr>
        <w:t>实际情况取消了沉沙凼和铺设棕垫措施，增加了防雨布的临时遮盖面积，最终导致临时措施投资增加</w:t>
      </w:r>
      <w:r>
        <w:rPr>
          <w:rFonts w:hint="eastAsia"/>
          <w:lang w:val="en-US" w:eastAsia="zh-CN"/>
        </w:rPr>
        <w:t>4.61</w:t>
      </w:r>
      <w:r>
        <w:rPr>
          <w:rFonts w:hint="eastAsia"/>
        </w:rPr>
        <w:t>万元。</w:t>
      </w:r>
    </w:p>
    <w:p>
      <w:pPr>
        <w:numPr>
          <w:ilvl w:val="0"/>
          <w:numId w:val="4"/>
        </w:numPr>
        <w:spacing w:before="120"/>
        <w:ind w:firstLine="480"/>
      </w:pPr>
      <w:r>
        <w:t>监测费用减少</w:t>
      </w:r>
      <w:r>
        <w:rPr>
          <w:rFonts w:hint="eastAsia"/>
          <w:lang w:val="en-US" w:eastAsia="zh-CN"/>
        </w:rPr>
        <w:t>4.76</w:t>
      </w:r>
      <w:r>
        <w:t>万元，主要是根据川水函[2018]887号文，征占地小于10公顷以下的项目可不提供监测总结报告，建设单位</w:t>
      </w:r>
      <w:r>
        <w:rPr>
          <w:rFonts w:hint="eastAsia"/>
        </w:rPr>
        <w:t>可自行</w:t>
      </w:r>
      <w:r>
        <w:t>开展水土保持监测工作，</w:t>
      </w:r>
      <w:r>
        <w:rPr>
          <w:rFonts w:hint="eastAsia"/>
        </w:rPr>
        <w:t>因此此部分费用未发生</w:t>
      </w:r>
      <w:r>
        <w:t>。</w:t>
      </w:r>
    </w:p>
    <w:p>
      <w:pPr>
        <w:spacing w:before="120"/>
        <w:ind w:firstLine="480"/>
      </w:pPr>
      <w:r>
        <w:rPr>
          <w:rFonts w:hint="eastAsia"/>
        </w:rPr>
        <w:t>4</w:t>
      </w:r>
      <w:r>
        <w:t>、</w:t>
      </w:r>
      <w:r>
        <w:rPr>
          <w:rFonts w:hint="eastAsia"/>
        </w:rPr>
        <w:t>独立费用</w:t>
      </w:r>
      <w:r>
        <w:rPr>
          <w:rFonts w:hint="eastAsia"/>
          <w:lang w:val="en-US" w:eastAsia="zh-CN"/>
        </w:rPr>
        <w:t>中</w:t>
      </w:r>
      <w:r>
        <w:rPr>
          <w:rFonts w:hint="eastAsia"/>
        </w:rPr>
        <w:t>水保监理由主体监理代为实施，</w:t>
      </w:r>
      <w:r>
        <w:t>监理费减少</w:t>
      </w:r>
      <w:r>
        <w:rPr>
          <w:rFonts w:hint="eastAsia"/>
          <w:lang w:val="en-US" w:eastAsia="zh-CN"/>
        </w:rPr>
        <w:t>1.18</w:t>
      </w:r>
      <w:r>
        <w:t>万元</w:t>
      </w:r>
      <w:r>
        <w:rPr>
          <w:rFonts w:hint="eastAsia"/>
        </w:rPr>
        <w:t>；其他独立费用按实际投资计列</w:t>
      </w:r>
      <w:r>
        <w:t>，</w:t>
      </w:r>
      <w:r>
        <w:rPr>
          <w:rFonts w:hint="eastAsia"/>
        </w:rPr>
        <w:t>最终独立费用</w:t>
      </w:r>
      <w:r>
        <w:t>投资</w:t>
      </w:r>
      <w:r>
        <w:rPr>
          <w:rFonts w:hint="eastAsia"/>
          <w:lang w:val="en-US" w:eastAsia="zh-CN"/>
        </w:rPr>
        <w:t>增加1.90</w:t>
      </w:r>
      <w:r>
        <w:rPr>
          <w:rFonts w:hint="eastAsia"/>
        </w:rPr>
        <w:t>万元</w:t>
      </w:r>
      <w:r>
        <w:t>。</w:t>
      </w:r>
    </w:p>
    <w:p>
      <w:pPr>
        <w:spacing w:before="120"/>
        <w:ind w:firstLine="480"/>
        <w:jc w:val="left"/>
      </w:pPr>
      <w:r>
        <w:rPr>
          <w:rFonts w:hint="eastAsia"/>
        </w:rPr>
        <w:t>5</w:t>
      </w:r>
      <w:r>
        <w:t>、</w:t>
      </w:r>
      <w:r>
        <w:rPr>
          <w:rFonts w:hint="eastAsia"/>
        </w:rPr>
        <w:t>工程建成，</w:t>
      </w:r>
      <w:r>
        <w:t>基本预备费</w:t>
      </w:r>
      <w:r>
        <w:rPr>
          <w:rFonts w:hint="eastAsia"/>
        </w:rPr>
        <w:t>未发生</w:t>
      </w:r>
      <w:r>
        <w:t>，不再单独列支</w:t>
      </w:r>
      <w:r>
        <w:rPr>
          <w:rFonts w:hint="eastAsia"/>
        </w:rPr>
        <w:t>，相应减少</w:t>
      </w:r>
      <w:r>
        <w:rPr>
          <w:rFonts w:hint="eastAsia"/>
          <w:lang w:val="en-US" w:eastAsia="zh-CN"/>
        </w:rPr>
        <w:t>2.64</w:t>
      </w:r>
      <w:r>
        <w:rPr>
          <w:rFonts w:hint="eastAsia"/>
        </w:rPr>
        <w:t>万元</w:t>
      </w:r>
      <w:r>
        <w:t>。</w:t>
      </w:r>
    </w:p>
    <w:p>
      <w:pPr>
        <w:spacing w:before="120"/>
        <w:ind w:firstLine="480"/>
        <w:jc w:val="left"/>
        <w:sectPr>
          <w:headerReference r:id="rId28" w:type="default"/>
          <w:pgSz w:w="11906" w:h="16838"/>
          <w:pgMar w:top="1440" w:right="1800" w:bottom="1440" w:left="1800" w:header="708" w:footer="708" w:gutter="0"/>
          <w:pgNumType w:fmt="numberInDash"/>
          <w:cols w:space="708" w:num="1"/>
          <w:docGrid w:linePitch="381" w:charSpace="0"/>
        </w:sectPr>
      </w:pPr>
    </w:p>
    <w:p>
      <w:pPr>
        <w:pStyle w:val="2"/>
      </w:pPr>
      <w:bookmarkStart w:id="105" w:name="_Toc515873333"/>
      <w:bookmarkStart w:id="106" w:name="_Toc7903"/>
      <w:r>
        <w:t>水土保持工程质量</w:t>
      </w:r>
      <w:bookmarkEnd w:id="105"/>
      <w:bookmarkEnd w:id="106"/>
    </w:p>
    <w:p>
      <w:pPr>
        <w:pStyle w:val="3"/>
        <w:spacing w:before="120" w:after="120"/>
        <w:rPr>
          <w:b/>
          <w:bCs/>
        </w:rPr>
      </w:pPr>
      <w:bookmarkStart w:id="107" w:name="_Toc14555"/>
      <w:bookmarkStart w:id="108" w:name="_Toc515873334"/>
      <w:r>
        <w:rPr>
          <w:b/>
          <w:bCs/>
        </w:rPr>
        <w:t>质量管理体系</w:t>
      </w:r>
      <w:bookmarkEnd w:id="107"/>
      <w:bookmarkEnd w:id="108"/>
    </w:p>
    <w:p>
      <w:pPr>
        <w:pStyle w:val="4"/>
        <w:spacing w:before="120"/>
      </w:pPr>
      <w:bookmarkStart w:id="109" w:name="_Toc19799"/>
      <w:bookmarkStart w:id="110" w:name="_Toc20290"/>
      <w:bookmarkStart w:id="111" w:name="_Toc6252"/>
      <w:bookmarkStart w:id="112" w:name="_Toc515873335"/>
      <w:bookmarkStart w:id="113" w:name="_Toc484280806"/>
      <w:bookmarkStart w:id="114" w:name="_Toc496268067"/>
      <w:bookmarkStart w:id="115" w:name="_Toc489977023"/>
      <w:r>
        <w:t>建设单位质量控制</w:t>
      </w:r>
      <w:bookmarkEnd w:id="109"/>
      <w:bookmarkEnd w:id="110"/>
      <w:bookmarkEnd w:id="111"/>
      <w:bookmarkEnd w:id="112"/>
      <w:bookmarkEnd w:id="113"/>
      <w:bookmarkEnd w:id="114"/>
      <w:bookmarkEnd w:id="115"/>
    </w:p>
    <w:p>
      <w:pPr>
        <w:spacing w:before="120"/>
        <w:ind w:firstLine="480"/>
      </w:pPr>
      <w:r>
        <w:t>本项目建设全面实行项目法人责任制、招标投标制和工程监理制。由项目法人（国网四川省电力公司甘孜供电公司）全面负责项目的建设与管理。公司领导高度重视项目建设中的水土保持工作，把水土保持工程纳入主体工程的建设和管理体系中，由工程建设项目部负责水土保持工程的实施和完善。工程建设项目部作为建设单位职能部门牵头召集设计、监理、施工等各参建方质量负责人，制定了《国网四川省电力公司甘孜供电公司</w:t>
      </w:r>
      <w:r>
        <w:rPr>
          <w:rFonts w:hint="eastAsia"/>
          <w:lang w:eastAsia="zh-CN"/>
        </w:rPr>
        <w:t>甘孜雅江柯拉35千伏输变电工程</w:t>
      </w:r>
      <w:r>
        <w:t>质量管理制度》，对项目的水土保持工作做了规定，制定了《国网四川省电力公司甘孜供电公司</w:t>
      </w:r>
      <w:r>
        <w:rPr>
          <w:rFonts w:hint="eastAsia"/>
          <w:lang w:eastAsia="zh-CN"/>
        </w:rPr>
        <w:t>甘孜雅江柯拉35千伏输变电工程</w:t>
      </w:r>
      <w:r>
        <w:t>监理工作考核办法》、《单位（分部、分项）工程质量检查与验收制度》、《工程整体验收制度》、《隐蔽工程质量验收制度》、《不合格项处理管理规定》、《质量事故处理制度》等一整套适合本工程的制度体系，确保工程建设的规范化、制度化。</w:t>
      </w:r>
    </w:p>
    <w:p>
      <w:pPr>
        <w:spacing w:before="120"/>
        <w:ind w:firstLine="480"/>
      </w:pPr>
      <w:r>
        <w:t>为确保本项目水土保持工程的质量、进度、投资控制，项目建设单位将水土保持工程措施的施工材料采购及供应、施工单位招标等程序纳入主体工程管理程序中。水土保持工程措施的施工由相应的主体工程施工单位承担。各施工单位均建立了第一质量责任人的质量保证体系，对工程施工进行全面的质量管理；实行工程质量终身负责制，层层落实、签订质量责任书，各自负责其相应的责任，接受建设单位、监理以及监督部门的监督；根据项目有关建设的政策、法规、规程、规范和标准，把好质量关。</w:t>
      </w:r>
    </w:p>
    <w:p>
      <w:pPr>
        <w:pStyle w:val="4"/>
        <w:spacing w:before="120"/>
      </w:pPr>
      <w:r>
        <w:t>设计单位的质量保证体系</w:t>
      </w:r>
    </w:p>
    <w:p>
      <w:pPr>
        <w:spacing w:before="120"/>
        <w:ind w:firstLine="480"/>
      </w:pPr>
      <w:r>
        <w:t>设计单位按GB/T19001-ISO9001标准质量管理体系组织推行了质量保证体系，在项目中实施质量策划、质量控制、质量保证和质量改进管理，并在认真落实质量保证制度的同时不断提出巩固、完善和提高的新目标，以持续改进质量保证体系。为贯彻“精益求精、不断改善”宗旨和质量方针，实现各项工程投产后良好的经济效益和社会效益，设计单位按照质量体系文件的要求控制设计全过程，强化设计质量的动态控制，并定期进行内部审核，认真贯彻项目建设方针、法规，以优质的设计产品确保工程建设的优质高效。</w:t>
      </w:r>
    </w:p>
    <w:p>
      <w:pPr>
        <w:spacing w:before="120"/>
        <w:ind w:firstLine="480"/>
      </w:pPr>
      <w:r>
        <w:t>1、在工程的设计过程中，设计单位强化公司、室、组三级质量管理机构的职责履行，总工程师负责指导监督质量管理体系的有效运行。总工室在总工程师领导下行使职权，明确专人负责协助项目组设总，直接参与工程全过程的质量管理活动，在工程建设全过程对有关政策、设计标准、深度规定、限额设计要求的贯彻执行，新技术、结构、材料的应用等进行有效的管理和监督，并协调各相关专业，确保文件在各有关专业室正确、迅速的传递，在设计手段和资源的配置，技术、档案资料的利用及勘测设计成品的印制出版质量等方面起到可靠的保证和支撑作用。</w:t>
      </w:r>
    </w:p>
    <w:p>
      <w:pPr>
        <w:spacing w:before="120"/>
        <w:ind w:firstLine="480"/>
      </w:pPr>
      <w:r>
        <w:t>2、为满足工程项目的设计要求，设计单位以文件形式规定了设计质量有关的过程开发、运作和控制的主要责任、权限、报告渠道及各专业间相互接口。同时选派技术职称和设计技术水平相应的，符合任职资格条件的人员，承担工程的设计审定、审核工作。</w:t>
      </w:r>
    </w:p>
    <w:p>
      <w:pPr>
        <w:spacing w:before="120"/>
        <w:ind w:firstLine="480"/>
      </w:pPr>
      <w:r>
        <w:t>3、设计单位明确设计必要的程序，实施分阶段质量控制。确保各阶段设计文件做到基础资料齐全，采用技术标准合理准确，深度符合规定要求，满足工程建设的需要和质量要求。</w:t>
      </w:r>
    </w:p>
    <w:p>
      <w:pPr>
        <w:spacing w:before="120"/>
        <w:ind w:firstLine="480"/>
      </w:pPr>
      <w:r>
        <w:t>4、设计单位建立了设计图纸和技术文件的设计质量评审制度，坚持三级审核制度，建立健全了质量监督检查制度、改进机制并制定、完善质量责任及相应的考核办法，加大质量管理和产品质量的考核、奖惩力度，确保本项目设计质量。</w:t>
      </w:r>
    </w:p>
    <w:p>
      <w:pPr>
        <w:pStyle w:val="4"/>
        <w:spacing w:before="120"/>
      </w:pPr>
      <w:r>
        <w:t>施工单位的质量保证体系</w:t>
      </w:r>
    </w:p>
    <w:p>
      <w:pPr>
        <w:spacing w:before="120"/>
        <w:ind w:firstLine="480"/>
      </w:pPr>
      <w:r>
        <w:t>施工单位都是具有施工资质，具备一定技术、人才、经济实力的企业，自身的质量保证体系较完善。</w:t>
      </w:r>
    </w:p>
    <w:p>
      <w:pPr>
        <w:spacing w:before="120"/>
        <w:ind w:firstLine="480"/>
      </w:pPr>
      <w:r>
        <w:t>工程开工前，由施工单位填写开工申请报告和质量考核表，送监理部审核；项目总工主持对所提交的图纸进行有计划的技术交底，编制工程建设一级网络进度图，在保证质量的同时，控制工程进度；依据相关规定，保证施工质量，按合同规定对工程材料、苗木及工程设备进行试验检测、验收；工程施工期，严格按方案设计进行施工；制定了《工程管理制度》、《工程技术部及相关岗位技术职责》、《施工方及其他服务采购控制程序》、《国网四川省电力公司甘孜供电公司</w:t>
      </w:r>
      <w:r>
        <w:rPr>
          <w:rFonts w:hint="eastAsia"/>
          <w:lang w:eastAsia="zh-CN"/>
        </w:rPr>
        <w:t>甘孜雅江柯拉35千伏输变电工程</w:t>
      </w:r>
      <w:r>
        <w:t>安全工作规定》等管理办法和制度，明确施工方法、程序、进度、质量及安全保证措施；各项工程完工后，须具有完整的质量自检记录、各类工程质量签证、验收记录等。首先进行自检，合格后由监理公司、总公司组织初验。对不符合质量要求的工程，发放工程质量整改通知单，限期整改。</w:t>
      </w:r>
    </w:p>
    <w:p>
      <w:pPr>
        <w:spacing w:before="120"/>
        <w:ind w:firstLine="480"/>
      </w:pPr>
      <w:r>
        <w:t>按照《安全生产监督规定》建立健全安全施工保证体系和安全监督体系，制定了《工程安全文明施工管理制度》、《国网四川省电力公司甘孜供电公司</w:t>
      </w:r>
      <w:r>
        <w:rPr>
          <w:rFonts w:hint="eastAsia"/>
          <w:lang w:eastAsia="zh-CN"/>
        </w:rPr>
        <w:t>甘孜雅江柯拉35千伏输变电工程</w:t>
      </w:r>
      <w:r>
        <w:t>安全文明施工考核办法》，协调、解决本单位以及与相邻单位在施工中出现的各类安全文明施工问题。</w:t>
      </w:r>
    </w:p>
    <w:p>
      <w:pPr>
        <w:spacing w:before="120"/>
        <w:ind w:firstLine="480"/>
      </w:pPr>
      <w:r>
        <w:t>在此基础上，注重各项措施的检查验收工作，将价款支付同</w:t>
      </w:r>
      <w:r>
        <w:rPr>
          <w:rFonts w:hint="eastAsia"/>
          <w:lang w:eastAsia="zh-CN"/>
        </w:rPr>
        <w:t>完工</w:t>
      </w:r>
      <w:r>
        <w:t>验收结合起来，保障了工程质量和种植林草的成活率和保存率。</w:t>
      </w:r>
    </w:p>
    <w:p>
      <w:pPr>
        <w:pStyle w:val="4"/>
        <w:spacing w:before="120"/>
      </w:pPr>
      <w:r>
        <w:t>监理单位的质量控制体系</w:t>
      </w:r>
    </w:p>
    <w:p>
      <w:pPr>
        <w:spacing w:before="120"/>
        <w:ind w:firstLine="480"/>
      </w:pPr>
      <w:r>
        <w:t>国网四川省电力公司甘孜供电公司</w:t>
      </w:r>
      <w:r>
        <w:rPr>
          <w:rFonts w:hint="eastAsia"/>
          <w:lang w:eastAsia="zh-CN"/>
        </w:rPr>
        <w:t>甘孜雅江柯拉35千伏输变电工程</w:t>
      </w:r>
      <w:r>
        <w:t>项目建设部根据《施工监理服务协议书》，并结合国网四川省电力公司甘孜供电公司</w:t>
      </w:r>
      <w:r>
        <w:rPr>
          <w:rFonts w:hint="eastAsia"/>
          <w:lang w:eastAsia="zh-CN"/>
        </w:rPr>
        <w:t>甘孜雅江柯拉35千伏输变电工程</w:t>
      </w:r>
      <w:r>
        <w:t>实际情况，编制了《监理过程控制程序》颁发使用，以使监理工作达到标准化、规范化、程序化，加强工程质量管理，控制工期和费用。</w:t>
      </w:r>
    </w:p>
    <w:p>
      <w:pPr>
        <w:spacing w:before="120"/>
        <w:ind w:firstLine="480"/>
      </w:pPr>
      <w:r>
        <w:t>监理单位与国网四川省电力公司甘孜供电公司</w:t>
      </w:r>
      <w:r>
        <w:rPr>
          <w:rFonts w:hint="eastAsia"/>
          <w:lang w:eastAsia="zh-CN"/>
        </w:rPr>
        <w:t>甘孜雅江柯拉35千伏输变电工程</w:t>
      </w:r>
      <w:r>
        <w:t>建设单位签订监理合同后，组建项目监理部，任命总监理工程师，进驻工程现场，按《监理过程控制程序》要求开展监理工作。对施工开始前和施工过程中的材料配备、工作情况和质量问题进行现场管理。根据各项管理工作的需要，制定较为具体的管理规定或实施细则，经总监审定后报公司总工程师或主管副总经理批准后。发送施工单位依照执行。监理单位为工程的顺利实施专门制定了《监理规划》及《监理实施细则》，制定了相应的监理程序，运用常规检测技术和方法，严格执行各项监理制度，对包括植物措施在内的整个水土保持工程实施了整体质量、工程进度和投资总额控制。</w:t>
      </w:r>
    </w:p>
    <w:p>
      <w:pPr>
        <w:spacing w:before="120"/>
        <w:ind w:firstLine="480"/>
      </w:pPr>
      <w:r>
        <w:t>施工开始前，监理单位审核了施工单位的资质、质量计划，并进行详细记录；编制年（季）度工作计划，经公司总工程师批准后实施；施工过程中，主要采用现场检查验收、旁站与巡视、平行检验等控制手段，所有控制过程都保存控制记录。及时组织进行分部工程验收与质量评定，做好工程验收工作。定期向公司报告工程质量情况，并进行统计、分析与评价。</w:t>
      </w:r>
    </w:p>
    <w:p>
      <w:pPr>
        <w:spacing w:before="120"/>
        <w:ind w:firstLine="480"/>
      </w:pPr>
      <w:r>
        <w:t>各监理部下设的结构、建筑、安装、测量、试验、计量、质检专业监理工程师和现场监理工程师，分工负责、全过程、全方位的进行质量体系监控。同时通过国网四川省电力公司甘孜供电公司</w:t>
      </w:r>
      <w:r>
        <w:rPr>
          <w:rFonts w:hint="eastAsia"/>
          <w:lang w:eastAsia="zh-CN"/>
        </w:rPr>
        <w:t>甘孜雅江柯拉35千伏输变电工程</w:t>
      </w:r>
      <w:r>
        <w:t>技术部的协调沟通，设计单位也加强了工程建设过程中的信息交流和现场服务，常驻施工工地，不定期巡视各施工面，发现与设计意图不符之处，及时通知监理工程师责令承包商改正。加快了设计问题处理速度，加强了现场控制力度，工程的施工及质量管理取得良好效果。</w:t>
      </w:r>
    </w:p>
    <w:p>
      <w:pPr>
        <w:spacing w:before="120"/>
        <w:ind w:firstLine="480"/>
      </w:pPr>
      <w:r>
        <w:t>对施工单位报送的各项预（结）算的文件，按《技经工作管理制度》的要求，经监理单位的监理工程师审核后，填写《工程预（结）算审核表》、《工程结算会签单》报送公司计划部审核批准；《工程结算会签单》应经公司总经理批准，工程部、物资部配合协助管理支付。</w:t>
      </w:r>
    </w:p>
    <w:p>
      <w:pPr>
        <w:spacing w:before="120"/>
        <w:ind w:firstLine="480"/>
      </w:pPr>
      <w:r>
        <w:t>经过建设监理，保证了水土保持工程的施工质量，投资得到严格控制，按计划进度组织实施。</w:t>
      </w:r>
    </w:p>
    <w:p>
      <w:pPr>
        <w:pStyle w:val="3"/>
        <w:spacing w:before="120" w:after="120"/>
        <w:rPr>
          <w:b/>
          <w:bCs/>
        </w:rPr>
      </w:pPr>
      <w:bookmarkStart w:id="116" w:name="_Toc515873339"/>
      <w:bookmarkStart w:id="117" w:name="_Toc17769"/>
      <w:r>
        <w:rPr>
          <w:b/>
          <w:bCs/>
        </w:rPr>
        <w:t>各防治分区水土保持工程质量评定</w:t>
      </w:r>
      <w:bookmarkEnd w:id="116"/>
      <w:bookmarkEnd w:id="117"/>
    </w:p>
    <w:p>
      <w:pPr>
        <w:pStyle w:val="4"/>
        <w:spacing w:before="120"/>
      </w:pPr>
      <w:bookmarkStart w:id="118" w:name="_Toc515873340"/>
      <w:r>
        <w:t>项目划分及结果</w:t>
      </w:r>
      <w:bookmarkEnd w:id="118"/>
    </w:p>
    <w:p>
      <w:pPr>
        <w:spacing w:before="120"/>
        <w:ind w:firstLine="480"/>
        <w:rPr>
          <w:szCs w:val="28"/>
        </w:rPr>
      </w:pPr>
      <w:r>
        <w:t>根据建设单位提供的相关资料，经报告编制组实地核查，依据《水土保持工程质量评定规程》（SL336-2006）、《开发建设项目水土保持设施验收技术规程》（GB/T22490-2008，以下简称技术规程），按照水土流失防治分区，结合项目特点将本项目水土保持措施划分土地整治工程、防洪排导工程和</w:t>
      </w:r>
      <w:r>
        <w:rPr>
          <w:szCs w:val="28"/>
        </w:rPr>
        <w:t>植被建设工程3个单位工程。</w:t>
      </w:r>
    </w:p>
    <w:p>
      <w:pPr>
        <w:spacing w:before="120"/>
        <w:ind w:firstLine="480"/>
      </w:pPr>
      <w:r>
        <w:t>由于本项目水土保持工程措施、植物措施和临时措施由主体工程施工单位总承包完成，主体工程进行分项验收时已进行了质量评定，本次评定将接受主体工程的评定结果，对专项水土保持措施的工程部位，按“技术规程”要求进行现场评定或复核。整个项目可划分为</w:t>
      </w:r>
      <w:r>
        <w:rPr>
          <w:rFonts w:hint="eastAsia"/>
        </w:rPr>
        <w:t>3个单位工程，6</w:t>
      </w:r>
      <w:r>
        <w:t>个分部工程，</w:t>
      </w:r>
      <w:r>
        <w:rPr>
          <w:rFonts w:hint="eastAsia"/>
          <w:lang w:val="en-US" w:eastAsia="zh-CN"/>
        </w:rPr>
        <w:t>42</w:t>
      </w:r>
      <w:r>
        <w:t>个单元工程。具体见表4.2-1。</w:t>
      </w:r>
    </w:p>
    <w:p>
      <w:pPr>
        <w:pStyle w:val="57"/>
        <w:spacing w:before="120"/>
        <w:rPr>
          <w:color w:val="auto"/>
        </w:rPr>
      </w:pPr>
      <w:r>
        <w:rPr>
          <w:color w:val="auto"/>
        </w:rPr>
        <w:t>水土保持工程项目划分情况表</w:t>
      </w:r>
    </w:p>
    <w:p>
      <w:pPr>
        <w:pStyle w:val="13"/>
      </w:pPr>
      <w:r>
        <w:t>表</w:t>
      </w:r>
      <w:r>
        <w:rPr>
          <w:vertAlign w:val="superscript"/>
        </w:rPr>
        <w:t xml:space="preserve"> </w:t>
      </w:r>
      <w:r>
        <w:fldChar w:fldCharType="begin"/>
      </w:r>
      <w:r>
        <w:instrText xml:space="preserve"> STYLEREF 2 \s </w:instrText>
      </w:r>
      <w:r>
        <w:fldChar w:fldCharType="separate"/>
      </w:r>
      <w:r>
        <w:t>4.2</w:t>
      </w:r>
      <w:r>
        <w:fldChar w:fldCharType="end"/>
      </w:r>
      <w:r>
        <w:noBreakHyphen/>
      </w:r>
      <w:r>
        <w:fldChar w:fldCharType="begin"/>
      </w:r>
      <w:r>
        <w:instrText xml:space="preserve"> SEQ 表 \* ARABIC \s 2 </w:instrText>
      </w:r>
      <w:r>
        <w:fldChar w:fldCharType="separate"/>
      </w:r>
      <w:r>
        <w:t>1</w:t>
      </w:r>
      <w:r>
        <w:fldChar w:fldCharType="end"/>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1247"/>
        <w:gridCol w:w="908"/>
        <w:gridCol w:w="1069"/>
        <w:gridCol w:w="4311"/>
        <w:gridCol w:w="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247" w:type="dxa"/>
            <w:vMerge w:val="restart"/>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一级分区</w:t>
            </w:r>
          </w:p>
        </w:tc>
        <w:tc>
          <w:tcPr>
            <w:tcW w:w="908" w:type="dxa"/>
            <w:vMerge w:val="restart"/>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单位工程</w:t>
            </w:r>
          </w:p>
        </w:tc>
        <w:tc>
          <w:tcPr>
            <w:tcW w:w="1069" w:type="dxa"/>
            <w:vMerge w:val="restart"/>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分部工程</w:t>
            </w:r>
          </w:p>
        </w:tc>
        <w:tc>
          <w:tcPr>
            <w:tcW w:w="5104" w:type="dxa"/>
            <w:gridSpan w:val="2"/>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单元工程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247"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0"/>
                <w:szCs w:val="18"/>
              </w:rPr>
            </w:pPr>
          </w:p>
        </w:tc>
        <w:tc>
          <w:tcPr>
            <w:tcW w:w="908"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0"/>
                <w:szCs w:val="21"/>
              </w:rPr>
            </w:pPr>
          </w:p>
        </w:tc>
        <w:tc>
          <w:tcPr>
            <w:tcW w:w="1069"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0"/>
                <w:szCs w:val="21"/>
              </w:rPr>
            </w:pPr>
          </w:p>
        </w:tc>
        <w:tc>
          <w:tcPr>
            <w:tcW w:w="4311"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划分标准</w:t>
            </w:r>
          </w:p>
        </w:tc>
        <w:tc>
          <w:tcPr>
            <w:tcW w:w="793"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247" w:type="dxa"/>
            <w:vMerge w:val="restart"/>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变电站工程区</w:t>
            </w:r>
          </w:p>
        </w:tc>
        <w:tc>
          <w:tcPr>
            <w:tcW w:w="90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2"/>
              </w:rPr>
            </w:pPr>
            <w:r>
              <w:rPr>
                <w:rFonts w:hint="eastAsia"/>
                <w:kern w:val="0"/>
                <w:sz w:val="20"/>
                <w:szCs w:val="22"/>
              </w:rPr>
              <w:t>防洪排导工程</w:t>
            </w:r>
          </w:p>
        </w:tc>
        <w:tc>
          <w:tcPr>
            <w:tcW w:w="106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排洪导流设施</w:t>
            </w:r>
          </w:p>
        </w:tc>
        <w:tc>
          <w:tcPr>
            <w:tcW w:w="4311"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按段划分，每</w:t>
            </w:r>
            <w:r>
              <w:rPr>
                <w:kern w:val="0"/>
                <w:sz w:val="20"/>
                <w:szCs w:val="21"/>
              </w:rPr>
              <w:t>50~100m</w:t>
            </w:r>
            <w:r>
              <w:rPr>
                <w:rFonts w:hint="eastAsia"/>
                <w:kern w:val="0"/>
                <w:sz w:val="20"/>
                <w:szCs w:val="21"/>
              </w:rPr>
              <w:t>作为一个单元工程</w:t>
            </w:r>
          </w:p>
        </w:tc>
        <w:tc>
          <w:tcPr>
            <w:tcW w:w="793"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eastAsia" w:eastAsia="仿宋_GB2312"/>
                <w:kern w:val="0"/>
                <w:sz w:val="20"/>
                <w:szCs w:val="22"/>
                <w:lang w:eastAsia="zh-CN"/>
              </w:rPr>
            </w:pPr>
            <w:r>
              <w:rPr>
                <w:rFonts w:hint="eastAsia"/>
                <w:kern w:val="0"/>
                <w:sz w:val="20"/>
                <w:szCs w:val="22"/>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247"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0"/>
                <w:szCs w:val="18"/>
              </w:rPr>
            </w:pPr>
          </w:p>
        </w:tc>
        <w:tc>
          <w:tcPr>
            <w:tcW w:w="90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2"/>
              </w:rPr>
            </w:pPr>
            <w:r>
              <w:rPr>
                <w:rFonts w:hint="eastAsia"/>
                <w:kern w:val="0"/>
                <w:sz w:val="20"/>
                <w:szCs w:val="22"/>
              </w:rPr>
              <w:t>土地整治</w:t>
            </w:r>
          </w:p>
        </w:tc>
        <w:tc>
          <w:tcPr>
            <w:tcW w:w="106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2"/>
              </w:rPr>
            </w:pPr>
            <w:r>
              <w:rPr>
                <w:rFonts w:hint="eastAsia"/>
                <w:kern w:val="0"/>
                <w:sz w:val="20"/>
                <w:szCs w:val="22"/>
              </w:rPr>
              <w:t>场地整治</w:t>
            </w:r>
          </w:p>
        </w:tc>
        <w:tc>
          <w:tcPr>
            <w:tcW w:w="4311"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每</w:t>
            </w:r>
            <w:r>
              <w:rPr>
                <w:kern w:val="0"/>
                <w:sz w:val="20"/>
                <w:szCs w:val="21"/>
              </w:rPr>
              <w:t>0.1</w:t>
            </w:r>
            <w:r>
              <w:rPr>
                <w:rFonts w:hint="eastAsia"/>
                <w:kern w:val="0"/>
                <w:sz w:val="20"/>
                <w:szCs w:val="21"/>
              </w:rPr>
              <w:t>～</w:t>
            </w:r>
            <w:r>
              <w:rPr>
                <w:kern w:val="0"/>
                <w:sz w:val="20"/>
                <w:szCs w:val="21"/>
              </w:rPr>
              <w:t>1hm</w:t>
            </w:r>
            <w:r>
              <w:rPr>
                <w:kern w:val="0"/>
                <w:sz w:val="20"/>
                <w:szCs w:val="21"/>
                <w:vertAlign w:val="superscript"/>
              </w:rPr>
              <w:t>2</w:t>
            </w:r>
            <w:r>
              <w:rPr>
                <w:kern w:val="0"/>
                <w:sz w:val="20"/>
                <w:szCs w:val="21"/>
              </w:rPr>
              <w:t xml:space="preserve"> </w:t>
            </w:r>
            <w:r>
              <w:rPr>
                <w:rFonts w:hint="eastAsia"/>
                <w:kern w:val="0"/>
                <w:sz w:val="20"/>
                <w:szCs w:val="21"/>
              </w:rPr>
              <w:t>为一个单元工程，不足</w:t>
            </w:r>
            <w:r>
              <w:rPr>
                <w:kern w:val="0"/>
                <w:sz w:val="20"/>
                <w:szCs w:val="21"/>
              </w:rPr>
              <w:t>0 .1hm</w:t>
            </w:r>
            <w:r>
              <w:rPr>
                <w:kern w:val="0"/>
                <w:sz w:val="20"/>
                <w:szCs w:val="21"/>
                <w:vertAlign w:val="superscript"/>
              </w:rPr>
              <w:t>2</w:t>
            </w:r>
            <w:r>
              <w:rPr>
                <w:rFonts w:hint="eastAsia"/>
                <w:kern w:val="0"/>
                <w:sz w:val="20"/>
                <w:szCs w:val="21"/>
              </w:rPr>
              <w:t>的可单独作为一个单元工程，大于</w:t>
            </w:r>
            <w:r>
              <w:rPr>
                <w:kern w:val="0"/>
                <w:sz w:val="20"/>
                <w:szCs w:val="21"/>
              </w:rPr>
              <w:t>1hm</w:t>
            </w:r>
            <w:r>
              <w:rPr>
                <w:kern w:val="0"/>
                <w:sz w:val="20"/>
                <w:szCs w:val="21"/>
                <w:vertAlign w:val="superscript"/>
              </w:rPr>
              <w:t>2</w:t>
            </w:r>
            <w:r>
              <w:rPr>
                <w:kern w:val="0"/>
                <w:sz w:val="20"/>
                <w:szCs w:val="21"/>
              </w:rPr>
              <w:t xml:space="preserve"> </w:t>
            </w:r>
            <w:r>
              <w:rPr>
                <w:rFonts w:hint="eastAsia"/>
                <w:kern w:val="0"/>
                <w:sz w:val="20"/>
                <w:szCs w:val="21"/>
              </w:rPr>
              <w:t>的可划分为两个以上单元工程</w:t>
            </w:r>
          </w:p>
        </w:tc>
        <w:tc>
          <w:tcPr>
            <w:tcW w:w="793"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2"/>
              </w:rPr>
            </w:pPr>
            <w:r>
              <w:rPr>
                <w:rFonts w:hint="eastAsia"/>
                <w:kern w:val="0"/>
                <w:sz w:val="20"/>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247"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0"/>
                <w:szCs w:val="18"/>
              </w:rPr>
            </w:pPr>
          </w:p>
        </w:tc>
        <w:tc>
          <w:tcPr>
            <w:tcW w:w="90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2"/>
              </w:rPr>
            </w:pPr>
            <w:r>
              <w:rPr>
                <w:rFonts w:hint="eastAsia"/>
                <w:kern w:val="0"/>
                <w:sz w:val="20"/>
                <w:szCs w:val="22"/>
              </w:rPr>
              <w:t>植被建设</w:t>
            </w:r>
          </w:p>
        </w:tc>
        <w:tc>
          <w:tcPr>
            <w:tcW w:w="106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2"/>
              </w:rPr>
            </w:pPr>
            <w:r>
              <w:rPr>
                <w:rFonts w:hint="eastAsia"/>
                <w:kern w:val="0"/>
                <w:sz w:val="20"/>
                <w:szCs w:val="22"/>
              </w:rPr>
              <w:t>点片状植被</w:t>
            </w:r>
          </w:p>
        </w:tc>
        <w:tc>
          <w:tcPr>
            <w:tcW w:w="4311"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以设计的图斑作为一个单元工程，每个单元工程面积</w:t>
            </w:r>
            <w:r>
              <w:rPr>
                <w:kern w:val="0"/>
                <w:sz w:val="20"/>
                <w:szCs w:val="21"/>
              </w:rPr>
              <w:t>0.1</w:t>
            </w:r>
            <w:r>
              <w:rPr>
                <w:rFonts w:hint="eastAsia"/>
                <w:kern w:val="0"/>
                <w:sz w:val="20"/>
                <w:szCs w:val="21"/>
              </w:rPr>
              <w:t>～</w:t>
            </w:r>
            <w:r>
              <w:rPr>
                <w:kern w:val="0"/>
                <w:sz w:val="20"/>
                <w:szCs w:val="21"/>
              </w:rPr>
              <w:t>1hm</w:t>
            </w:r>
            <w:r>
              <w:rPr>
                <w:kern w:val="0"/>
                <w:sz w:val="20"/>
                <w:szCs w:val="21"/>
                <w:vertAlign w:val="superscript"/>
              </w:rPr>
              <w:t>2</w:t>
            </w:r>
            <w:r>
              <w:rPr>
                <w:rFonts w:hint="eastAsia"/>
                <w:kern w:val="0"/>
                <w:sz w:val="20"/>
                <w:szCs w:val="21"/>
              </w:rPr>
              <w:t>，大于</w:t>
            </w:r>
            <w:r>
              <w:rPr>
                <w:kern w:val="0"/>
                <w:sz w:val="20"/>
                <w:szCs w:val="21"/>
              </w:rPr>
              <w:t>1hm</w:t>
            </w:r>
            <w:r>
              <w:rPr>
                <w:kern w:val="0"/>
                <w:sz w:val="20"/>
                <w:szCs w:val="21"/>
                <w:vertAlign w:val="superscript"/>
              </w:rPr>
              <w:t>2</w:t>
            </w:r>
            <w:r>
              <w:rPr>
                <w:rFonts w:hint="eastAsia"/>
                <w:kern w:val="0"/>
                <w:sz w:val="20"/>
                <w:szCs w:val="21"/>
              </w:rPr>
              <w:t>的可划分为两个以上单元工程</w:t>
            </w:r>
          </w:p>
        </w:tc>
        <w:tc>
          <w:tcPr>
            <w:tcW w:w="793"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2"/>
              </w:rPr>
            </w:pPr>
            <w:r>
              <w:rPr>
                <w:rFonts w:hint="eastAsia"/>
                <w:kern w:val="0"/>
                <w:sz w:val="20"/>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247" w:type="dxa"/>
            <w:vMerge w:val="restart"/>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18"/>
              </w:rPr>
            </w:pPr>
            <w:r>
              <w:rPr>
                <w:rFonts w:hint="eastAsia"/>
                <w:kern w:val="0"/>
                <w:sz w:val="20"/>
                <w:szCs w:val="18"/>
              </w:rPr>
              <w:t>线路工程区</w:t>
            </w:r>
          </w:p>
        </w:tc>
        <w:tc>
          <w:tcPr>
            <w:tcW w:w="90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2"/>
              </w:rPr>
            </w:pPr>
            <w:r>
              <w:rPr>
                <w:rFonts w:hint="eastAsia"/>
                <w:kern w:val="0"/>
                <w:sz w:val="20"/>
                <w:szCs w:val="22"/>
              </w:rPr>
              <w:t>防洪排导工程</w:t>
            </w:r>
          </w:p>
        </w:tc>
        <w:tc>
          <w:tcPr>
            <w:tcW w:w="106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排洪导流设施</w:t>
            </w:r>
          </w:p>
        </w:tc>
        <w:tc>
          <w:tcPr>
            <w:tcW w:w="4311"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按段划分，每</w:t>
            </w:r>
            <w:r>
              <w:rPr>
                <w:kern w:val="0"/>
                <w:sz w:val="20"/>
                <w:szCs w:val="21"/>
              </w:rPr>
              <w:t>50~100m</w:t>
            </w:r>
            <w:r>
              <w:rPr>
                <w:rFonts w:hint="eastAsia"/>
                <w:kern w:val="0"/>
                <w:sz w:val="20"/>
                <w:szCs w:val="21"/>
              </w:rPr>
              <w:t>作为一个单元工程</w:t>
            </w:r>
          </w:p>
        </w:tc>
        <w:tc>
          <w:tcPr>
            <w:tcW w:w="793"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0"/>
                <w:szCs w:val="22"/>
                <w:lang w:val="en-US" w:eastAsia="zh-CN"/>
              </w:rPr>
            </w:pPr>
            <w:r>
              <w:rPr>
                <w:rFonts w:hint="eastAsia"/>
                <w:kern w:val="0"/>
                <w:sz w:val="20"/>
                <w:szCs w:val="22"/>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247"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0"/>
                <w:szCs w:val="18"/>
              </w:rPr>
            </w:pPr>
          </w:p>
        </w:tc>
        <w:tc>
          <w:tcPr>
            <w:tcW w:w="90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2"/>
              </w:rPr>
            </w:pPr>
            <w:r>
              <w:rPr>
                <w:rFonts w:hint="eastAsia"/>
                <w:kern w:val="0"/>
                <w:sz w:val="20"/>
                <w:szCs w:val="22"/>
              </w:rPr>
              <w:t>土地整治</w:t>
            </w:r>
          </w:p>
        </w:tc>
        <w:tc>
          <w:tcPr>
            <w:tcW w:w="106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2"/>
              </w:rPr>
            </w:pPr>
            <w:r>
              <w:rPr>
                <w:rFonts w:hint="eastAsia"/>
                <w:kern w:val="0"/>
                <w:sz w:val="20"/>
                <w:szCs w:val="22"/>
              </w:rPr>
              <w:t>场地整治</w:t>
            </w:r>
          </w:p>
        </w:tc>
        <w:tc>
          <w:tcPr>
            <w:tcW w:w="4311"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每</w:t>
            </w:r>
            <w:r>
              <w:rPr>
                <w:kern w:val="0"/>
                <w:sz w:val="20"/>
                <w:szCs w:val="21"/>
              </w:rPr>
              <w:t>0.1</w:t>
            </w:r>
            <w:r>
              <w:rPr>
                <w:rFonts w:hint="eastAsia"/>
                <w:kern w:val="0"/>
                <w:sz w:val="20"/>
                <w:szCs w:val="21"/>
              </w:rPr>
              <w:t>～</w:t>
            </w:r>
            <w:r>
              <w:rPr>
                <w:kern w:val="0"/>
                <w:sz w:val="20"/>
                <w:szCs w:val="21"/>
              </w:rPr>
              <w:t>1hm</w:t>
            </w:r>
            <w:r>
              <w:rPr>
                <w:kern w:val="0"/>
                <w:sz w:val="20"/>
                <w:szCs w:val="21"/>
                <w:vertAlign w:val="superscript"/>
              </w:rPr>
              <w:t>2</w:t>
            </w:r>
            <w:r>
              <w:rPr>
                <w:kern w:val="0"/>
                <w:sz w:val="20"/>
                <w:szCs w:val="21"/>
              </w:rPr>
              <w:t xml:space="preserve"> </w:t>
            </w:r>
            <w:r>
              <w:rPr>
                <w:rFonts w:hint="eastAsia"/>
                <w:kern w:val="0"/>
                <w:sz w:val="20"/>
                <w:szCs w:val="21"/>
              </w:rPr>
              <w:t>为一个单元工程，不足</w:t>
            </w:r>
            <w:r>
              <w:rPr>
                <w:kern w:val="0"/>
                <w:sz w:val="20"/>
                <w:szCs w:val="21"/>
              </w:rPr>
              <w:t>0 .1hm</w:t>
            </w:r>
            <w:r>
              <w:rPr>
                <w:kern w:val="0"/>
                <w:sz w:val="20"/>
                <w:szCs w:val="21"/>
                <w:vertAlign w:val="superscript"/>
              </w:rPr>
              <w:t>2</w:t>
            </w:r>
            <w:r>
              <w:rPr>
                <w:rFonts w:hint="eastAsia"/>
                <w:kern w:val="0"/>
                <w:sz w:val="20"/>
                <w:szCs w:val="21"/>
              </w:rPr>
              <w:t>的可单独作为一个单元工程，大于</w:t>
            </w:r>
            <w:r>
              <w:rPr>
                <w:kern w:val="0"/>
                <w:sz w:val="20"/>
                <w:szCs w:val="21"/>
              </w:rPr>
              <w:t>1hm</w:t>
            </w:r>
            <w:r>
              <w:rPr>
                <w:kern w:val="0"/>
                <w:sz w:val="20"/>
                <w:szCs w:val="21"/>
                <w:vertAlign w:val="superscript"/>
              </w:rPr>
              <w:t>2</w:t>
            </w:r>
            <w:r>
              <w:rPr>
                <w:kern w:val="0"/>
                <w:sz w:val="20"/>
                <w:szCs w:val="21"/>
              </w:rPr>
              <w:t xml:space="preserve"> </w:t>
            </w:r>
            <w:r>
              <w:rPr>
                <w:rFonts w:hint="eastAsia"/>
                <w:kern w:val="0"/>
                <w:sz w:val="20"/>
                <w:szCs w:val="21"/>
              </w:rPr>
              <w:t>的可划分为两个以上单元工程</w:t>
            </w:r>
          </w:p>
        </w:tc>
        <w:tc>
          <w:tcPr>
            <w:tcW w:w="793"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0"/>
                <w:szCs w:val="22"/>
                <w:lang w:val="en-US" w:eastAsia="zh-CN"/>
              </w:rPr>
            </w:pPr>
            <w:r>
              <w:rPr>
                <w:rFonts w:hint="eastAsia"/>
                <w:kern w:val="0"/>
                <w:sz w:val="20"/>
                <w:szCs w:val="22"/>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247"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0"/>
                <w:szCs w:val="18"/>
              </w:rPr>
            </w:pPr>
          </w:p>
        </w:tc>
        <w:tc>
          <w:tcPr>
            <w:tcW w:w="90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2"/>
              </w:rPr>
            </w:pPr>
            <w:r>
              <w:rPr>
                <w:rFonts w:hint="eastAsia"/>
                <w:kern w:val="0"/>
                <w:sz w:val="20"/>
                <w:szCs w:val="22"/>
              </w:rPr>
              <w:t>植被建设</w:t>
            </w:r>
          </w:p>
        </w:tc>
        <w:tc>
          <w:tcPr>
            <w:tcW w:w="106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2"/>
              </w:rPr>
            </w:pPr>
            <w:r>
              <w:rPr>
                <w:rFonts w:hint="eastAsia"/>
                <w:kern w:val="0"/>
                <w:sz w:val="20"/>
                <w:szCs w:val="22"/>
              </w:rPr>
              <w:t>点片状植被</w:t>
            </w:r>
          </w:p>
        </w:tc>
        <w:tc>
          <w:tcPr>
            <w:tcW w:w="4311"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以设计的图斑作为一个单元工程，每个单元工程面积</w:t>
            </w:r>
            <w:r>
              <w:rPr>
                <w:kern w:val="0"/>
                <w:sz w:val="20"/>
                <w:szCs w:val="21"/>
              </w:rPr>
              <w:t>0.1</w:t>
            </w:r>
            <w:r>
              <w:rPr>
                <w:rFonts w:hint="eastAsia"/>
                <w:kern w:val="0"/>
                <w:sz w:val="20"/>
                <w:szCs w:val="21"/>
              </w:rPr>
              <w:t>～</w:t>
            </w:r>
            <w:r>
              <w:rPr>
                <w:kern w:val="0"/>
                <w:sz w:val="20"/>
                <w:szCs w:val="21"/>
              </w:rPr>
              <w:t>1hm</w:t>
            </w:r>
            <w:r>
              <w:rPr>
                <w:kern w:val="0"/>
                <w:sz w:val="20"/>
                <w:szCs w:val="21"/>
                <w:vertAlign w:val="superscript"/>
              </w:rPr>
              <w:t>2</w:t>
            </w:r>
            <w:r>
              <w:rPr>
                <w:rFonts w:hint="eastAsia"/>
                <w:kern w:val="0"/>
                <w:sz w:val="20"/>
                <w:szCs w:val="21"/>
              </w:rPr>
              <w:t>，大于</w:t>
            </w:r>
            <w:r>
              <w:rPr>
                <w:kern w:val="0"/>
                <w:sz w:val="20"/>
                <w:szCs w:val="21"/>
              </w:rPr>
              <w:t>1hm</w:t>
            </w:r>
            <w:r>
              <w:rPr>
                <w:kern w:val="0"/>
                <w:sz w:val="20"/>
                <w:szCs w:val="21"/>
                <w:vertAlign w:val="superscript"/>
              </w:rPr>
              <w:t>2</w:t>
            </w:r>
            <w:r>
              <w:rPr>
                <w:rFonts w:hint="eastAsia"/>
                <w:kern w:val="0"/>
                <w:sz w:val="20"/>
                <w:szCs w:val="21"/>
              </w:rPr>
              <w:t>的可划分为两个以上单元工程</w:t>
            </w:r>
          </w:p>
        </w:tc>
        <w:tc>
          <w:tcPr>
            <w:tcW w:w="793"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0"/>
                <w:szCs w:val="22"/>
                <w:lang w:val="en-US" w:eastAsia="zh-CN"/>
              </w:rPr>
            </w:pPr>
            <w:r>
              <w:rPr>
                <w:rFonts w:hint="eastAsia"/>
                <w:kern w:val="0"/>
                <w:sz w:val="20"/>
                <w:szCs w:val="22"/>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247"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合计</w:t>
            </w:r>
          </w:p>
        </w:tc>
        <w:tc>
          <w:tcPr>
            <w:tcW w:w="90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kern w:val="0"/>
                <w:sz w:val="20"/>
                <w:szCs w:val="21"/>
              </w:rPr>
              <w:t>3</w:t>
            </w:r>
          </w:p>
        </w:tc>
        <w:tc>
          <w:tcPr>
            <w:tcW w:w="106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6</w:t>
            </w:r>
          </w:p>
        </w:tc>
        <w:tc>
          <w:tcPr>
            <w:tcW w:w="4311"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　</w:t>
            </w:r>
          </w:p>
        </w:tc>
        <w:tc>
          <w:tcPr>
            <w:tcW w:w="793"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0"/>
                <w:szCs w:val="21"/>
                <w:lang w:val="en-US" w:eastAsia="zh-CN"/>
              </w:rPr>
            </w:pPr>
            <w:r>
              <w:rPr>
                <w:rFonts w:hint="eastAsia"/>
                <w:kern w:val="0"/>
                <w:sz w:val="20"/>
                <w:szCs w:val="21"/>
                <w:lang w:val="en-US" w:eastAsia="zh-CN"/>
              </w:rPr>
              <w:t>42</w:t>
            </w:r>
          </w:p>
        </w:tc>
      </w:tr>
    </w:tbl>
    <w:p>
      <w:pPr>
        <w:pStyle w:val="4"/>
        <w:spacing w:before="120"/>
      </w:pPr>
      <w:bookmarkStart w:id="119" w:name="_Toc515873341"/>
      <w:r>
        <w:t>质量评定</w:t>
      </w:r>
      <w:bookmarkEnd w:id="119"/>
    </w:p>
    <w:p>
      <w:pPr>
        <w:pStyle w:val="5"/>
        <w:spacing w:before="120"/>
      </w:pPr>
      <w:r>
        <w:t>质量评定标准</w:t>
      </w:r>
    </w:p>
    <w:p>
      <w:pPr>
        <w:spacing w:before="120"/>
        <w:ind w:firstLine="480"/>
      </w:pPr>
      <w:r>
        <w:rPr>
          <w:rFonts w:hint="eastAsia"/>
          <w:lang w:eastAsia="zh-CN"/>
        </w:rPr>
        <w:t>甘孜雅江柯拉35千伏输变电工程</w:t>
      </w:r>
      <w:r>
        <w:t>总体评定主要是以单位工程评定为基础，其评定等级分为优良和合格两级。工程项目质量优良标准为：单位工程质量全部合格，其中有50%以上的单位工程优良，且主要建筑单位工程为优良；合格标准：单位工程质量全部合格。</w:t>
      </w:r>
    </w:p>
    <w:p>
      <w:pPr>
        <w:spacing w:before="120"/>
        <w:ind w:firstLine="480"/>
      </w:pPr>
      <w:r>
        <w:t>单位工程在分部工程质量评定的基础上，采用专家评定法评定质量等级。单位工程评定标准，优良标准为：分部工程质量全部合格，其中有50%达到优良，主要分部工程质量优良，且施工过程中未发生过任何重大质量事故；中间产品全部合格其中砼拌和物质量达到优良；原材料质量合格；外观质量得分率达到85%以上；施工质量检测资料齐全。合格标准为：分部工程质量全部合格；中间产品和原材料全部合格；外观质量得分率达到85%以上；施工质量检测资料齐全。</w:t>
      </w:r>
    </w:p>
    <w:p>
      <w:pPr>
        <w:pStyle w:val="5"/>
        <w:spacing w:before="120"/>
      </w:pPr>
      <w:bookmarkStart w:id="120" w:name="_Toc505007938"/>
      <w:r>
        <w:t>水土保持工程质量评定</w:t>
      </w:r>
      <w:bookmarkEnd w:id="120"/>
    </w:p>
    <w:p>
      <w:pPr>
        <w:spacing w:before="120"/>
        <w:ind w:firstLine="480"/>
      </w:pPr>
      <w:r>
        <w:t>（1）</w:t>
      </w:r>
      <w:r>
        <w:rPr>
          <w:rFonts w:hint="eastAsia"/>
          <w:lang w:eastAsia="zh-CN"/>
        </w:rPr>
        <w:t>完工</w:t>
      </w:r>
      <w:r>
        <w:t>资料检查情况</w:t>
      </w:r>
    </w:p>
    <w:p>
      <w:pPr>
        <w:spacing w:before="120"/>
        <w:ind w:firstLine="480"/>
      </w:pPr>
      <w:r>
        <w:t>报告编制组检查了水土保持工程质量检验和工程质量评定资料。包括主要原材料的检验、施工单位“三检”、监理工程师初验等环节的资料。</w:t>
      </w:r>
    </w:p>
    <w:p>
      <w:pPr>
        <w:spacing w:before="120"/>
        <w:ind w:firstLine="480"/>
      </w:pPr>
      <w:r>
        <w:rPr>
          <w:rFonts w:hint="eastAsia"/>
          <w:lang w:eastAsia="zh-CN"/>
        </w:rPr>
        <w:t>完工</w:t>
      </w:r>
      <w:r>
        <w:t>资料检查结果显示：本项目实施的水土保持措施（包括工程措施、植物措施）可以划分为3个单位工程、</w:t>
      </w:r>
      <w:r>
        <w:rPr>
          <w:rFonts w:hint="eastAsia"/>
        </w:rPr>
        <w:t>6</w:t>
      </w:r>
      <w:r>
        <w:t>个分部工程、</w:t>
      </w:r>
      <w:r>
        <w:rPr>
          <w:rFonts w:hint="eastAsia"/>
          <w:lang w:val="en-US" w:eastAsia="zh-CN"/>
        </w:rPr>
        <w:t>42</w:t>
      </w:r>
      <w:r>
        <w:t>个单元工程。</w:t>
      </w:r>
    </w:p>
    <w:p>
      <w:pPr>
        <w:spacing w:before="120"/>
        <w:ind w:firstLine="480"/>
      </w:pPr>
      <w:r>
        <w:t>（2）质量评定情况</w:t>
      </w:r>
    </w:p>
    <w:p>
      <w:pPr>
        <w:spacing w:before="120"/>
        <w:ind w:firstLine="480"/>
      </w:pPr>
      <w:r>
        <w:t>水保措施质量评定是根据施工记录、监理记录、工程外观和处理缺陷等进行综合评定。建设单位国网四川省电力公司甘孜供电公司组织监理单位、施工单位等对本工程各项水土保持措施分部工程及单位工程进行了验收。验收人员查阅了所有水土保持措施单位工程相关施工记录、监理记录等。最终评定：本项目单元工程全部合格，合格率100%，单元工程优良数</w:t>
      </w:r>
      <w:r>
        <w:rPr>
          <w:rFonts w:hint="eastAsia"/>
          <w:lang w:val="en-US" w:eastAsia="zh-CN"/>
        </w:rPr>
        <w:t>19</w:t>
      </w:r>
      <w:r>
        <w:t>个，优良率</w:t>
      </w:r>
      <w:r>
        <w:rPr>
          <w:rFonts w:hint="eastAsia"/>
          <w:lang w:val="en-US" w:eastAsia="zh-CN"/>
        </w:rPr>
        <w:t>45.2</w:t>
      </w:r>
      <w:r>
        <w:t>%；</w:t>
      </w:r>
      <w:r>
        <w:rPr>
          <w:rFonts w:hint="eastAsia"/>
        </w:rPr>
        <w:t>6</w:t>
      </w:r>
      <w:r>
        <w:t>个分部工程全部合格，合格率100%；3个单位工程全部评定为合格，合格率100%。</w:t>
      </w:r>
    </w:p>
    <w:p>
      <w:pPr>
        <w:spacing w:before="120"/>
        <w:ind w:firstLine="480"/>
      </w:pPr>
      <w:r>
        <w:t>项目区各项水土保持单位工程总体合格，水土保持措施布局合理，质量符合设计要求，起到了良好的水土流失防治、绿化美化、植被恢复等多重效果，具备验收条件。</w:t>
      </w:r>
    </w:p>
    <w:p>
      <w:pPr>
        <w:pStyle w:val="57"/>
        <w:spacing w:before="120"/>
        <w:rPr>
          <w:color w:val="auto"/>
        </w:rPr>
      </w:pPr>
      <w:r>
        <w:rPr>
          <w:color w:val="auto"/>
        </w:rPr>
        <w:t>水土保持措施质量评定汇总表</w:t>
      </w:r>
    </w:p>
    <w:p>
      <w:pPr>
        <w:pStyle w:val="13"/>
      </w:pPr>
      <w:r>
        <w:t>表</w:t>
      </w:r>
      <w:r>
        <w:rPr>
          <w:vertAlign w:val="superscript"/>
        </w:rPr>
        <w:t xml:space="preserve"> </w:t>
      </w:r>
      <w:r>
        <w:fldChar w:fldCharType="begin"/>
      </w:r>
      <w:r>
        <w:instrText xml:space="preserve"> STYLEREF 2 \s </w:instrText>
      </w:r>
      <w:r>
        <w:fldChar w:fldCharType="separate"/>
      </w:r>
      <w:r>
        <w:t>4.2</w:t>
      </w:r>
      <w:r>
        <w:fldChar w:fldCharType="end"/>
      </w:r>
      <w:r>
        <w:noBreakHyphen/>
      </w:r>
      <w:r>
        <w:fldChar w:fldCharType="begin"/>
      </w:r>
      <w:r>
        <w:instrText xml:space="preserve"> SEQ 表 \* ARABIC \s 2 </w:instrText>
      </w:r>
      <w:r>
        <w:fldChar w:fldCharType="separate"/>
      </w:r>
      <w:r>
        <w:t>2</w:t>
      </w:r>
      <w:r>
        <w:fldChar w:fldCharType="end"/>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1828"/>
        <w:gridCol w:w="1828"/>
        <w:gridCol w:w="929"/>
        <w:gridCol w:w="929"/>
        <w:gridCol w:w="929"/>
        <w:gridCol w:w="929"/>
        <w:gridCol w:w="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828" w:type="dxa"/>
            <w:vMerge w:val="restart"/>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单位工程</w:t>
            </w:r>
          </w:p>
        </w:tc>
        <w:tc>
          <w:tcPr>
            <w:tcW w:w="1828" w:type="dxa"/>
            <w:vMerge w:val="restart"/>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分部工程</w:t>
            </w:r>
          </w:p>
        </w:tc>
        <w:tc>
          <w:tcPr>
            <w:tcW w:w="4672" w:type="dxa"/>
            <w:gridSpan w:val="5"/>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单元工程质量评定情况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828"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0"/>
                <w:szCs w:val="21"/>
              </w:rPr>
            </w:pPr>
          </w:p>
        </w:tc>
        <w:tc>
          <w:tcPr>
            <w:tcW w:w="1828" w:type="dxa"/>
            <w:vMerge w:val="continue"/>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left"/>
              <w:rPr>
                <w:kern w:val="0"/>
                <w:sz w:val="20"/>
                <w:szCs w:val="21"/>
              </w:rPr>
            </w:pPr>
          </w:p>
        </w:tc>
        <w:tc>
          <w:tcPr>
            <w:tcW w:w="92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总体数</w:t>
            </w:r>
          </w:p>
        </w:tc>
        <w:tc>
          <w:tcPr>
            <w:tcW w:w="92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合格数</w:t>
            </w:r>
          </w:p>
        </w:tc>
        <w:tc>
          <w:tcPr>
            <w:tcW w:w="92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合格率</w:t>
            </w:r>
          </w:p>
        </w:tc>
        <w:tc>
          <w:tcPr>
            <w:tcW w:w="92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优良数</w:t>
            </w:r>
          </w:p>
        </w:tc>
        <w:tc>
          <w:tcPr>
            <w:tcW w:w="956"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优良率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82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防洪排导工程</w:t>
            </w:r>
          </w:p>
        </w:tc>
        <w:tc>
          <w:tcPr>
            <w:tcW w:w="182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排洪导流设施</w:t>
            </w:r>
          </w:p>
        </w:tc>
        <w:tc>
          <w:tcPr>
            <w:tcW w:w="92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0"/>
                <w:szCs w:val="22"/>
                <w:lang w:val="en-US" w:eastAsia="zh-CN"/>
              </w:rPr>
            </w:pPr>
            <w:r>
              <w:rPr>
                <w:rFonts w:hint="eastAsia"/>
                <w:kern w:val="0"/>
                <w:sz w:val="20"/>
                <w:szCs w:val="22"/>
                <w:lang w:val="en-US" w:eastAsia="zh-CN"/>
              </w:rPr>
              <w:t>10</w:t>
            </w:r>
          </w:p>
        </w:tc>
        <w:tc>
          <w:tcPr>
            <w:tcW w:w="92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leftChars="0" w:right="0" w:rightChars="0" w:firstLine="0" w:firstLineChars="0"/>
              <w:jc w:val="center"/>
              <w:rPr>
                <w:kern w:val="0"/>
                <w:sz w:val="20"/>
                <w:szCs w:val="22"/>
              </w:rPr>
            </w:pPr>
            <w:r>
              <w:rPr>
                <w:rFonts w:hint="eastAsia"/>
                <w:kern w:val="0"/>
                <w:sz w:val="20"/>
                <w:szCs w:val="22"/>
                <w:lang w:val="en-US" w:eastAsia="zh-CN"/>
              </w:rPr>
              <w:t>10</w:t>
            </w:r>
          </w:p>
        </w:tc>
        <w:tc>
          <w:tcPr>
            <w:tcW w:w="92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2"/>
              </w:rPr>
            </w:pPr>
            <w:r>
              <w:rPr>
                <w:kern w:val="0"/>
                <w:sz w:val="20"/>
                <w:szCs w:val="22"/>
              </w:rPr>
              <w:t>100%</w:t>
            </w:r>
          </w:p>
        </w:tc>
        <w:tc>
          <w:tcPr>
            <w:tcW w:w="92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eastAsia" w:eastAsia="仿宋_GB2312"/>
                <w:kern w:val="0"/>
                <w:sz w:val="20"/>
                <w:szCs w:val="22"/>
                <w:lang w:eastAsia="zh-CN"/>
              </w:rPr>
            </w:pPr>
            <w:r>
              <w:rPr>
                <w:rFonts w:hint="eastAsia"/>
                <w:kern w:val="0"/>
                <w:sz w:val="20"/>
                <w:szCs w:val="22"/>
                <w:lang w:val="en-US" w:eastAsia="zh-CN"/>
              </w:rPr>
              <w:t>6</w:t>
            </w:r>
          </w:p>
        </w:tc>
        <w:tc>
          <w:tcPr>
            <w:tcW w:w="956"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2"/>
              </w:rPr>
            </w:pPr>
            <w:r>
              <w:rPr>
                <w:rFonts w:hint="eastAsia"/>
                <w:kern w:val="0"/>
                <w:sz w:val="20"/>
                <w:szCs w:val="22"/>
                <w:lang w:val="en-US" w:eastAsia="zh-CN"/>
              </w:rPr>
              <w:t>60</w:t>
            </w:r>
            <w:r>
              <w:rPr>
                <w:kern w:val="0"/>
                <w:sz w:val="20"/>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82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2"/>
              </w:rPr>
            </w:pPr>
            <w:r>
              <w:rPr>
                <w:rFonts w:hint="eastAsia"/>
                <w:kern w:val="0"/>
                <w:sz w:val="20"/>
                <w:szCs w:val="22"/>
              </w:rPr>
              <w:t>土地整治工程</w:t>
            </w:r>
          </w:p>
        </w:tc>
        <w:tc>
          <w:tcPr>
            <w:tcW w:w="182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场地整治</w:t>
            </w:r>
          </w:p>
        </w:tc>
        <w:tc>
          <w:tcPr>
            <w:tcW w:w="92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0"/>
                <w:szCs w:val="22"/>
                <w:lang w:val="en-US" w:eastAsia="zh-CN"/>
              </w:rPr>
            </w:pPr>
            <w:r>
              <w:rPr>
                <w:rFonts w:hint="eastAsia"/>
                <w:kern w:val="0"/>
                <w:sz w:val="20"/>
                <w:szCs w:val="22"/>
                <w:lang w:val="en-US" w:eastAsia="zh-CN"/>
              </w:rPr>
              <w:t>16</w:t>
            </w:r>
          </w:p>
        </w:tc>
        <w:tc>
          <w:tcPr>
            <w:tcW w:w="92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leftChars="0" w:right="0" w:rightChars="0" w:firstLine="0" w:firstLineChars="0"/>
              <w:jc w:val="center"/>
              <w:rPr>
                <w:kern w:val="0"/>
                <w:sz w:val="20"/>
                <w:szCs w:val="22"/>
              </w:rPr>
            </w:pPr>
            <w:r>
              <w:rPr>
                <w:rFonts w:hint="eastAsia"/>
                <w:kern w:val="0"/>
                <w:sz w:val="20"/>
                <w:szCs w:val="22"/>
                <w:lang w:val="en-US" w:eastAsia="zh-CN"/>
              </w:rPr>
              <w:t>16</w:t>
            </w:r>
          </w:p>
        </w:tc>
        <w:tc>
          <w:tcPr>
            <w:tcW w:w="92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2"/>
              </w:rPr>
            </w:pPr>
            <w:r>
              <w:rPr>
                <w:kern w:val="0"/>
                <w:sz w:val="20"/>
                <w:szCs w:val="22"/>
              </w:rPr>
              <w:t>100%</w:t>
            </w:r>
          </w:p>
        </w:tc>
        <w:tc>
          <w:tcPr>
            <w:tcW w:w="92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eastAsia" w:eastAsia="仿宋_GB2312"/>
                <w:kern w:val="0"/>
                <w:sz w:val="20"/>
                <w:szCs w:val="22"/>
                <w:lang w:eastAsia="zh-CN"/>
              </w:rPr>
            </w:pPr>
            <w:r>
              <w:rPr>
                <w:rFonts w:hint="eastAsia"/>
                <w:kern w:val="0"/>
                <w:sz w:val="20"/>
                <w:szCs w:val="22"/>
                <w:lang w:val="en-US" w:eastAsia="zh-CN"/>
              </w:rPr>
              <w:t>7</w:t>
            </w:r>
          </w:p>
        </w:tc>
        <w:tc>
          <w:tcPr>
            <w:tcW w:w="956"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2"/>
              </w:rPr>
            </w:pPr>
            <w:r>
              <w:rPr>
                <w:rFonts w:hint="eastAsia"/>
                <w:kern w:val="0"/>
                <w:sz w:val="20"/>
                <w:szCs w:val="22"/>
                <w:lang w:val="en-US" w:eastAsia="zh-CN"/>
              </w:rPr>
              <w:t>43.7</w:t>
            </w:r>
            <w:r>
              <w:rPr>
                <w:kern w:val="0"/>
                <w:sz w:val="20"/>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82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植被建设工程</w:t>
            </w:r>
          </w:p>
        </w:tc>
        <w:tc>
          <w:tcPr>
            <w:tcW w:w="182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点片状植被</w:t>
            </w:r>
          </w:p>
        </w:tc>
        <w:tc>
          <w:tcPr>
            <w:tcW w:w="92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0"/>
                <w:szCs w:val="22"/>
                <w:lang w:val="en-US" w:eastAsia="zh-CN"/>
              </w:rPr>
            </w:pPr>
            <w:r>
              <w:rPr>
                <w:rFonts w:hint="eastAsia"/>
                <w:kern w:val="0"/>
                <w:sz w:val="20"/>
                <w:szCs w:val="22"/>
                <w:lang w:val="en-US" w:eastAsia="zh-CN"/>
              </w:rPr>
              <w:t>16</w:t>
            </w:r>
          </w:p>
        </w:tc>
        <w:tc>
          <w:tcPr>
            <w:tcW w:w="92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leftChars="0" w:right="0" w:rightChars="0" w:firstLine="0" w:firstLineChars="0"/>
              <w:jc w:val="center"/>
              <w:rPr>
                <w:kern w:val="0"/>
                <w:sz w:val="20"/>
                <w:szCs w:val="22"/>
              </w:rPr>
            </w:pPr>
            <w:r>
              <w:rPr>
                <w:rFonts w:hint="eastAsia"/>
                <w:kern w:val="0"/>
                <w:sz w:val="20"/>
                <w:szCs w:val="22"/>
                <w:lang w:val="en-US" w:eastAsia="zh-CN"/>
              </w:rPr>
              <w:t>16</w:t>
            </w:r>
          </w:p>
        </w:tc>
        <w:tc>
          <w:tcPr>
            <w:tcW w:w="92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2"/>
              </w:rPr>
            </w:pPr>
            <w:r>
              <w:rPr>
                <w:kern w:val="0"/>
                <w:sz w:val="20"/>
                <w:szCs w:val="22"/>
              </w:rPr>
              <w:t>100%</w:t>
            </w:r>
          </w:p>
        </w:tc>
        <w:tc>
          <w:tcPr>
            <w:tcW w:w="92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eastAsia" w:eastAsia="仿宋_GB2312"/>
                <w:kern w:val="0"/>
                <w:sz w:val="20"/>
                <w:szCs w:val="22"/>
                <w:lang w:eastAsia="zh-CN"/>
              </w:rPr>
            </w:pPr>
            <w:r>
              <w:rPr>
                <w:rFonts w:hint="eastAsia"/>
                <w:kern w:val="0"/>
                <w:sz w:val="20"/>
                <w:szCs w:val="22"/>
                <w:lang w:val="en-US" w:eastAsia="zh-CN"/>
              </w:rPr>
              <w:t>6</w:t>
            </w:r>
          </w:p>
        </w:tc>
        <w:tc>
          <w:tcPr>
            <w:tcW w:w="956"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2"/>
              </w:rPr>
            </w:pPr>
            <w:r>
              <w:rPr>
                <w:rFonts w:hint="eastAsia"/>
                <w:kern w:val="0"/>
                <w:sz w:val="20"/>
                <w:szCs w:val="22"/>
                <w:lang w:val="en-US" w:eastAsia="zh-CN"/>
              </w:rPr>
              <w:t>37.5</w:t>
            </w:r>
            <w:r>
              <w:rPr>
                <w:kern w:val="0"/>
                <w:sz w:val="20"/>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82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2"/>
              </w:rPr>
            </w:pPr>
            <w:r>
              <w:rPr>
                <w:rFonts w:hint="eastAsia"/>
                <w:kern w:val="0"/>
                <w:sz w:val="20"/>
                <w:szCs w:val="22"/>
              </w:rPr>
              <w:t>合计</w:t>
            </w:r>
          </w:p>
        </w:tc>
        <w:tc>
          <w:tcPr>
            <w:tcW w:w="1828"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2"/>
              </w:rPr>
            </w:pPr>
            <w:r>
              <w:rPr>
                <w:rFonts w:hint="eastAsia"/>
                <w:kern w:val="0"/>
                <w:sz w:val="20"/>
                <w:szCs w:val="22"/>
              </w:rPr>
              <w:t>　</w:t>
            </w:r>
          </w:p>
        </w:tc>
        <w:tc>
          <w:tcPr>
            <w:tcW w:w="92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0"/>
                <w:szCs w:val="22"/>
                <w:lang w:val="en-US" w:eastAsia="zh-CN"/>
              </w:rPr>
            </w:pPr>
            <w:r>
              <w:rPr>
                <w:rFonts w:hint="eastAsia"/>
                <w:kern w:val="0"/>
                <w:sz w:val="20"/>
                <w:szCs w:val="22"/>
                <w:lang w:val="en-US" w:eastAsia="zh-CN"/>
              </w:rPr>
              <w:t>42</w:t>
            </w:r>
          </w:p>
        </w:tc>
        <w:tc>
          <w:tcPr>
            <w:tcW w:w="92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leftChars="0" w:right="0" w:rightChars="0" w:firstLine="0" w:firstLineChars="0"/>
              <w:jc w:val="center"/>
              <w:rPr>
                <w:kern w:val="0"/>
                <w:sz w:val="20"/>
                <w:szCs w:val="22"/>
              </w:rPr>
            </w:pPr>
            <w:r>
              <w:rPr>
                <w:rFonts w:hint="eastAsia"/>
                <w:kern w:val="0"/>
                <w:sz w:val="20"/>
                <w:szCs w:val="22"/>
                <w:lang w:val="en-US" w:eastAsia="zh-CN"/>
              </w:rPr>
              <w:t>42</w:t>
            </w:r>
          </w:p>
        </w:tc>
        <w:tc>
          <w:tcPr>
            <w:tcW w:w="92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2"/>
              </w:rPr>
            </w:pPr>
            <w:r>
              <w:rPr>
                <w:kern w:val="0"/>
                <w:sz w:val="20"/>
                <w:szCs w:val="22"/>
              </w:rPr>
              <w:t>100%</w:t>
            </w:r>
          </w:p>
        </w:tc>
        <w:tc>
          <w:tcPr>
            <w:tcW w:w="929"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rFonts w:hint="default" w:eastAsia="仿宋_GB2312"/>
                <w:kern w:val="0"/>
                <w:sz w:val="20"/>
                <w:szCs w:val="22"/>
                <w:lang w:val="en-US" w:eastAsia="zh-CN"/>
              </w:rPr>
            </w:pPr>
            <w:r>
              <w:rPr>
                <w:rFonts w:hint="eastAsia"/>
                <w:kern w:val="0"/>
                <w:sz w:val="20"/>
                <w:szCs w:val="22"/>
                <w:lang w:val="en-US" w:eastAsia="zh-CN"/>
              </w:rPr>
              <w:t>19</w:t>
            </w:r>
          </w:p>
        </w:tc>
        <w:tc>
          <w:tcPr>
            <w:tcW w:w="956" w:type="dxa"/>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2"/>
              </w:rPr>
            </w:pPr>
            <w:r>
              <w:rPr>
                <w:rFonts w:hint="eastAsia"/>
                <w:kern w:val="0"/>
                <w:sz w:val="20"/>
                <w:szCs w:val="22"/>
                <w:lang w:val="en-US" w:eastAsia="zh-CN"/>
              </w:rPr>
              <w:t>45.2</w:t>
            </w:r>
            <w:r>
              <w:rPr>
                <w:kern w:val="0"/>
                <w:sz w:val="20"/>
                <w:szCs w:val="22"/>
              </w:rPr>
              <w:t>%</w:t>
            </w:r>
          </w:p>
        </w:tc>
      </w:tr>
    </w:tbl>
    <w:p>
      <w:pPr>
        <w:adjustRightInd/>
        <w:snapToGrid/>
        <w:spacing w:beforeLines="0" w:line="240" w:lineRule="auto"/>
        <w:ind w:firstLine="0" w:firstLineChars="0"/>
        <w:jc w:val="left"/>
        <w:rPr>
          <w:b/>
          <w:iCs/>
        </w:rPr>
      </w:pPr>
      <w:r>
        <w:br w:type="page"/>
      </w:r>
    </w:p>
    <w:p>
      <w:pPr>
        <w:pStyle w:val="57"/>
        <w:spacing w:before="120"/>
        <w:rPr>
          <w:color w:val="auto"/>
        </w:rPr>
      </w:pPr>
      <w:r>
        <w:rPr>
          <w:color w:val="auto"/>
        </w:rPr>
        <w:t>分部工程质量评定</w:t>
      </w:r>
    </w:p>
    <w:p>
      <w:pPr>
        <w:pStyle w:val="13"/>
      </w:pPr>
      <w:r>
        <w:t>表</w:t>
      </w:r>
      <w:r>
        <w:rPr>
          <w:vertAlign w:val="superscript"/>
        </w:rPr>
        <w:t xml:space="preserve"> </w:t>
      </w:r>
      <w:r>
        <w:fldChar w:fldCharType="begin"/>
      </w:r>
      <w:r>
        <w:instrText xml:space="preserve"> STYLEREF 2 \s </w:instrText>
      </w:r>
      <w:r>
        <w:fldChar w:fldCharType="separate"/>
      </w:r>
      <w:r>
        <w:t>4.2</w:t>
      </w:r>
      <w:r>
        <w:fldChar w:fldCharType="end"/>
      </w:r>
      <w:r>
        <w:noBreakHyphen/>
      </w:r>
      <w:r>
        <w:fldChar w:fldCharType="begin"/>
      </w:r>
      <w:r>
        <w:instrText xml:space="preserve"> SEQ 表 \* ARABIC \s 2 </w:instrText>
      </w:r>
      <w:r>
        <w:fldChar w:fldCharType="separate"/>
      </w:r>
      <w:r>
        <w:t>3</w:t>
      </w:r>
      <w:r>
        <w:fldChar w:fldCharType="end"/>
      </w:r>
    </w:p>
    <w:tbl>
      <w:tblPr>
        <w:tblStyle w:val="32"/>
        <w:tblW w:w="8522" w:type="dxa"/>
        <w:tblInd w:w="0" w:type="dxa"/>
        <w:tblLayout w:type="fixed"/>
        <w:tblCellMar>
          <w:top w:w="0" w:type="dxa"/>
          <w:left w:w="108" w:type="dxa"/>
          <w:bottom w:w="0" w:type="dxa"/>
          <w:right w:w="108" w:type="dxa"/>
        </w:tblCellMar>
      </w:tblPr>
      <w:tblGrid>
        <w:gridCol w:w="1614"/>
        <w:gridCol w:w="1614"/>
        <w:gridCol w:w="4140"/>
        <w:gridCol w:w="1154"/>
      </w:tblGrid>
      <w:tr>
        <w:tblPrEx>
          <w:tblCellMar>
            <w:top w:w="0" w:type="dxa"/>
            <w:left w:w="108" w:type="dxa"/>
            <w:bottom w:w="0" w:type="dxa"/>
            <w:right w:w="108" w:type="dxa"/>
          </w:tblCellMar>
        </w:tblPrEx>
        <w:trPr>
          <w:trHeight w:val="454" w:hRule="atLeast"/>
        </w:trPr>
        <w:tc>
          <w:tcPr>
            <w:tcW w:w="161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单位工程</w:t>
            </w:r>
          </w:p>
        </w:tc>
        <w:tc>
          <w:tcPr>
            <w:tcW w:w="1614" w:type="dxa"/>
            <w:tcBorders>
              <w:top w:val="single" w:color="auto" w:sz="4" w:space="0"/>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分部工程</w:t>
            </w:r>
          </w:p>
        </w:tc>
        <w:tc>
          <w:tcPr>
            <w:tcW w:w="4140" w:type="dxa"/>
            <w:tcBorders>
              <w:top w:val="single" w:color="auto" w:sz="4" w:space="0"/>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单元工程抽样检查情况</w:t>
            </w:r>
          </w:p>
        </w:tc>
        <w:tc>
          <w:tcPr>
            <w:tcW w:w="1154" w:type="dxa"/>
            <w:tcBorders>
              <w:top w:val="single" w:color="auto" w:sz="4" w:space="0"/>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评定结论</w:t>
            </w:r>
          </w:p>
        </w:tc>
      </w:tr>
      <w:tr>
        <w:tblPrEx>
          <w:tblCellMar>
            <w:top w:w="0" w:type="dxa"/>
            <w:left w:w="108" w:type="dxa"/>
            <w:bottom w:w="0" w:type="dxa"/>
            <w:right w:w="108" w:type="dxa"/>
          </w:tblCellMar>
        </w:tblPrEx>
        <w:trPr>
          <w:trHeight w:val="454" w:hRule="atLeast"/>
        </w:trPr>
        <w:tc>
          <w:tcPr>
            <w:tcW w:w="1614"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防洪排导工程</w:t>
            </w:r>
          </w:p>
        </w:tc>
        <w:tc>
          <w:tcPr>
            <w:tcW w:w="1614"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排洪导流设施</w:t>
            </w:r>
          </w:p>
        </w:tc>
        <w:tc>
          <w:tcPr>
            <w:tcW w:w="414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单元工程全部合格，未发生质量事故。</w:t>
            </w:r>
          </w:p>
        </w:tc>
        <w:tc>
          <w:tcPr>
            <w:tcW w:w="1154"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合格</w:t>
            </w:r>
          </w:p>
        </w:tc>
      </w:tr>
      <w:tr>
        <w:tblPrEx>
          <w:tblCellMar>
            <w:top w:w="0" w:type="dxa"/>
            <w:left w:w="108" w:type="dxa"/>
            <w:bottom w:w="0" w:type="dxa"/>
            <w:right w:w="108" w:type="dxa"/>
          </w:tblCellMar>
        </w:tblPrEx>
        <w:trPr>
          <w:trHeight w:val="454" w:hRule="atLeast"/>
        </w:trPr>
        <w:tc>
          <w:tcPr>
            <w:tcW w:w="1614"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Cs w:val="20"/>
              </w:rPr>
            </w:pPr>
            <w:r>
              <w:rPr>
                <w:rFonts w:cs="Times New Roman"/>
                <w:color w:val="auto"/>
                <w:szCs w:val="21"/>
              </w:rPr>
              <w:t>土地整治工程</w:t>
            </w:r>
          </w:p>
        </w:tc>
        <w:tc>
          <w:tcPr>
            <w:tcW w:w="1614"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Cs w:val="20"/>
              </w:rPr>
            </w:pPr>
            <w:r>
              <w:rPr>
                <w:rFonts w:cs="Times New Roman"/>
                <w:color w:val="auto"/>
                <w:szCs w:val="21"/>
              </w:rPr>
              <w:t>场地整治</w:t>
            </w:r>
          </w:p>
        </w:tc>
        <w:tc>
          <w:tcPr>
            <w:tcW w:w="414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单元工程全部合格，未发生质量事故。</w:t>
            </w:r>
          </w:p>
        </w:tc>
        <w:tc>
          <w:tcPr>
            <w:tcW w:w="1154"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合格</w:t>
            </w:r>
          </w:p>
        </w:tc>
      </w:tr>
      <w:tr>
        <w:tblPrEx>
          <w:tblCellMar>
            <w:top w:w="0" w:type="dxa"/>
            <w:left w:w="108" w:type="dxa"/>
            <w:bottom w:w="0" w:type="dxa"/>
            <w:right w:w="108" w:type="dxa"/>
          </w:tblCellMar>
        </w:tblPrEx>
        <w:trPr>
          <w:trHeight w:val="454" w:hRule="atLeast"/>
        </w:trPr>
        <w:tc>
          <w:tcPr>
            <w:tcW w:w="1614"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植被建设工程</w:t>
            </w:r>
          </w:p>
        </w:tc>
        <w:tc>
          <w:tcPr>
            <w:tcW w:w="1614"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点片状植被</w:t>
            </w:r>
          </w:p>
        </w:tc>
        <w:tc>
          <w:tcPr>
            <w:tcW w:w="414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单元工程全部合格，未发生质量事故。</w:t>
            </w:r>
          </w:p>
        </w:tc>
        <w:tc>
          <w:tcPr>
            <w:tcW w:w="1154"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合格</w:t>
            </w:r>
          </w:p>
        </w:tc>
      </w:tr>
    </w:tbl>
    <w:p>
      <w:pPr>
        <w:pStyle w:val="57"/>
        <w:spacing w:before="120"/>
        <w:rPr>
          <w:color w:val="auto"/>
        </w:rPr>
      </w:pPr>
      <w:r>
        <w:rPr>
          <w:color w:val="auto"/>
        </w:rPr>
        <w:t>单位工程质量评定</w:t>
      </w:r>
    </w:p>
    <w:p>
      <w:pPr>
        <w:pStyle w:val="13"/>
      </w:pPr>
      <w:r>
        <w:t>表</w:t>
      </w:r>
      <w:r>
        <w:rPr>
          <w:vertAlign w:val="superscript"/>
        </w:rPr>
        <w:t xml:space="preserve"> </w:t>
      </w:r>
      <w:r>
        <w:fldChar w:fldCharType="begin"/>
      </w:r>
      <w:r>
        <w:instrText xml:space="preserve"> STYLEREF 2 \s </w:instrText>
      </w:r>
      <w:r>
        <w:fldChar w:fldCharType="separate"/>
      </w:r>
      <w:r>
        <w:t>4.2</w:t>
      </w:r>
      <w:r>
        <w:fldChar w:fldCharType="end"/>
      </w:r>
      <w:r>
        <w:noBreakHyphen/>
      </w:r>
      <w:r>
        <w:fldChar w:fldCharType="begin"/>
      </w:r>
      <w:r>
        <w:instrText xml:space="preserve"> SEQ 表 \* ARABIC \s 2 </w:instrText>
      </w:r>
      <w:r>
        <w:fldChar w:fldCharType="separate"/>
      </w:r>
      <w:r>
        <w:t>4</w:t>
      </w:r>
      <w:r>
        <w:fldChar w:fldCharType="end"/>
      </w:r>
    </w:p>
    <w:tbl>
      <w:tblPr>
        <w:tblStyle w:val="3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4387"/>
        <w:gridCol w:w="2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2117" w:type="dxa"/>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单位工程</w:t>
            </w:r>
          </w:p>
        </w:tc>
        <w:tc>
          <w:tcPr>
            <w:tcW w:w="4387" w:type="dxa"/>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分部工程评定结论</w:t>
            </w:r>
          </w:p>
        </w:tc>
        <w:tc>
          <w:tcPr>
            <w:tcW w:w="2018" w:type="dxa"/>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单位工程评定结论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17" w:type="dxa"/>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防洪排导工程</w:t>
            </w:r>
          </w:p>
        </w:tc>
        <w:tc>
          <w:tcPr>
            <w:tcW w:w="4387" w:type="dxa"/>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分部工程质量全部合格；中间产品及原材料质量合格；未发生质量事故；施工质量检验资料齐全。</w:t>
            </w:r>
          </w:p>
        </w:tc>
        <w:tc>
          <w:tcPr>
            <w:tcW w:w="2018" w:type="dxa"/>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17" w:type="dxa"/>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土地整治工程</w:t>
            </w:r>
          </w:p>
        </w:tc>
        <w:tc>
          <w:tcPr>
            <w:tcW w:w="4387" w:type="dxa"/>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分部工程质量全部合格；中间产品及原材料质量合格；未发生质量事故；施工质量检验资料齐全。</w:t>
            </w:r>
          </w:p>
        </w:tc>
        <w:tc>
          <w:tcPr>
            <w:tcW w:w="2018" w:type="dxa"/>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17" w:type="dxa"/>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植被建设工程</w:t>
            </w:r>
          </w:p>
        </w:tc>
        <w:tc>
          <w:tcPr>
            <w:tcW w:w="4387" w:type="dxa"/>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分部工程质量全部合格；中间产品及原材料质量合格；未发生质量事故；施工质量检验资料齐全。</w:t>
            </w:r>
          </w:p>
        </w:tc>
        <w:tc>
          <w:tcPr>
            <w:tcW w:w="2018" w:type="dxa"/>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合格</w:t>
            </w:r>
          </w:p>
        </w:tc>
      </w:tr>
    </w:tbl>
    <w:p>
      <w:pPr>
        <w:pStyle w:val="4"/>
        <w:spacing w:before="120"/>
      </w:pPr>
      <w:bookmarkStart w:id="121" w:name="_Toc489977029"/>
      <w:bookmarkStart w:id="122" w:name="_Toc25094"/>
      <w:bookmarkStart w:id="123" w:name="_Toc496268073"/>
      <w:bookmarkStart w:id="124" w:name="_Toc484280812"/>
      <w:bookmarkStart w:id="125" w:name="_Toc515873342"/>
      <w:bookmarkStart w:id="126" w:name="_Toc27158"/>
      <w:bookmarkStart w:id="127" w:name="_Toc10265"/>
      <w:r>
        <w:t>现场抽查情况</w:t>
      </w:r>
      <w:bookmarkEnd w:id="121"/>
      <w:bookmarkEnd w:id="122"/>
      <w:bookmarkEnd w:id="123"/>
      <w:bookmarkEnd w:id="124"/>
      <w:bookmarkEnd w:id="125"/>
      <w:bookmarkEnd w:id="126"/>
      <w:bookmarkEnd w:id="127"/>
    </w:p>
    <w:p>
      <w:pPr>
        <w:spacing w:before="120"/>
        <w:ind w:firstLine="480"/>
      </w:pPr>
      <w:r>
        <w:t>20</w:t>
      </w:r>
      <w:r>
        <w:rPr>
          <w:rFonts w:hint="eastAsia"/>
        </w:rPr>
        <w:t>21</w:t>
      </w:r>
      <w:r>
        <w:t>年1月，我公司组织相关工程、植物相关专业技术人员对对水土保持措施中的防洪排导工程、植被建设工程及土地整治工程工程进行了现场核查。核查的分部工程包括排洪导流设施、点片状植被、场地整治共3个分部工程。对工程措施如截排水等主要核查其外观质量及几何尺寸检查；对场地整治主要核查其覆土厚度，平整度现场检查；对植物措施采用样方调查。</w:t>
      </w:r>
    </w:p>
    <w:p>
      <w:pPr>
        <w:spacing w:before="120"/>
        <w:ind w:firstLine="480"/>
      </w:pPr>
      <w:r>
        <w:t>资料检查及现场检查结果表明：本工程抽查单元工程共</w:t>
      </w:r>
      <w:r>
        <w:rPr>
          <w:rFonts w:hint="eastAsia"/>
          <w:lang w:val="en-US" w:eastAsia="zh-CN"/>
        </w:rPr>
        <w:t>24</w:t>
      </w:r>
      <w:r>
        <w:t>个，</w:t>
      </w:r>
      <w:r>
        <w:rPr>
          <w:rFonts w:hint="eastAsia"/>
          <w:lang w:val="en-US" w:eastAsia="zh-CN"/>
        </w:rPr>
        <w:t>24</w:t>
      </w:r>
      <w:r>
        <w:t>个单元工程全部合格，合格率100%；</w:t>
      </w:r>
      <w:r>
        <w:rPr>
          <w:rFonts w:hint="eastAsia"/>
        </w:rPr>
        <w:t>6</w:t>
      </w:r>
      <w:r>
        <w:t>个分部工程全部合格，合格率100%；</w:t>
      </w:r>
      <w:r>
        <w:rPr>
          <w:rFonts w:hint="eastAsia"/>
        </w:rPr>
        <w:t>3</w:t>
      </w:r>
      <w:r>
        <w:t>个单位工程全部评定为合格，合格率100%。</w:t>
      </w:r>
    </w:p>
    <w:p>
      <w:pPr>
        <w:spacing w:before="120"/>
        <w:ind w:firstLine="480"/>
      </w:pPr>
      <w:r>
        <w:t>项目区各项水土保持单位工程总体合格，水土保持措施布局合理，质量符合设计要求，起到了良好的水土流失防治、绿化美化、植被恢复等多重效果，具备验收条件。</w:t>
      </w:r>
    </w:p>
    <w:p>
      <w:pPr>
        <w:pStyle w:val="5"/>
        <w:spacing w:before="120"/>
      </w:pPr>
      <w:r>
        <w:t>工程措施现场抽查情况</w:t>
      </w:r>
    </w:p>
    <w:p>
      <w:pPr>
        <w:spacing w:beforeLines="0"/>
        <w:ind w:firstLine="480"/>
      </w:pPr>
      <w:r>
        <w:rPr>
          <w:rFonts w:hint="eastAsia"/>
          <w:lang w:eastAsia="zh-CN"/>
        </w:rPr>
        <w:t>甘孜雅江柯拉35千伏输变电工程</w:t>
      </w:r>
      <w:r>
        <w:t>水土保持工程措施现场检查，是在对其内业验收资料整体评价达到设计要求后的基础上对已完工的工程措施进行现场质量抽查。主要抽查了各水土流失防治区的的截排水沟等工程项目，现场抽样检查的目的主要是对工程外观质量，结构尺寸，覆土厚度是否存在工程缺陷及是否达到设计要求进行评价。</w:t>
      </w:r>
    </w:p>
    <w:p>
      <w:pPr>
        <w:spacing w:beforeLines="0"/>
        <w:ind w:firstLine="480"/>
      </w:pPr>
      <w:r>
        <w:t>20</w:t>
      </w:r>
      <w:r>
        <w:rPr>
          <w:rFonts w:hint="eastAsia"/>
        </w:rPr>
        <w:t>21</w:t>
      </w:r>
      <w:r>
        <w:t>年1月，报告编制组对水土保持工程措施的2个一级水土流失防治区，</w:t>
      </w:r>
      <w:r>
        <w:rPr>
          <w:rFonts w:hint="eastAsia"/>
          <w:lang w:val="en-US" w:eastAsia="zh-CN"/>
        </w:rPr>
        <w:t>2</w:t>
      </w:r>
      <w:r>
        <w:t>个单位工程及</w:t>
      </w:r>
      <w:r>
        <w:rPr>
          <w:rFonts w:hint="eastAsia"/>
          <w:lang w:val="en-US" w:eastAsia="zh-CN"/>
        </w:rPr>
        <w:t>4</w:t>
      </w:r>
      <w:r>
        <w:t>个分部工程全部进行了现场检查并拍照，对</w:t>
      </w:r>
      <w:r>
        <w:rPr>
          <w:rFonts w:hint="eastAsia"/>
          <w:lang w:val="en-US" w:eastAsia="zh-CN"/>
        </w:rPr>
        <w:t>13</w:t>
      </w:r>
      <w:r>
        <w:t>处抽样点进行了详细核查，工程措施现场抽查情况见下表。</w:t>
      </w:r>
    </w:p>
    <w:p>
      <w:pPr>
        <w:pStyle w:val="57"/>
        <w:spacing w:before="120"/>
        <w:rPr>
          <w:color w:val="auto"/>
        </w:rPr>
      </w:pPr>
      <w:r>
        <w:rPr>
          <w:color w:val="auto"/>
        </w:rPr>
        <w:t>水土保持工程措施外观质量现场抽查情况汇总表</w:t>
      </w:r>
    </w:p>
    <w:p>
      <w:pPr>
        <w:pStyle w:val="13"/>
      </w:pPr>
      <w:r>
        <w:t>表</w:t>
      </w:r>
      <w:r>
        <w:rPr>
          <w:vertAlign w:val="superscript"/>
        </w:rPr>
        <w:t xml:space="preserve"> </w:t>
      </w:r>
      <w:r>
        <w:fldChar w:fldCharType="begin"/>
      </w:r>
      <w:r>
        <w:instrText xml:space="preserve"> STYLEREF 2 \s </w:instrText>
      </w:r>
      <w:r>
        <w:fldChar w:fldCharType="separate"/>
      </w:r>
      <w:r>
        <w:t>4.2</w:t>
      </w:r>
      <w:r>
        <w:fldChar w:fldCharType="end"/>
      </w:r>
      <w:r>
        <w:noBreakHyphen/>
      </w:r>
      <w:r>
        <w:fldChar w:fldCharType="begin"/>
      </w:r>
      <w:r>
        <w:instrText xml:space="preserve"> SEQ 表 \* ARABIC \s 2 </w:instrText>
      </w:r>
      <w:r>
        <w:fldChar w:fldCharType="separate"/>
      </w:r>
      <w:r>
        <w:t>5</w:t>
      </w:r>
      <w:r>
        <w:fldChar w:fldCharType="end"/>
      </w:r>
    </w:p>
    <w:tbl>
      <w:tblPr>
        <w:tblStyle w:val="32"/>
        <w:tblW w:w="8328" w:type="dxa"/>
        <w:tblInd w:w="0" w:type="dxa"/>
        <w:tblLayout w:type="fixed"/>
        <w:tblCellMar>
          <w:top w:w="0" w:type="dxa"/>
          <w:left w:w="11" w:type="dxa"/>
          <w:bottom w:w="0" w:type="dxa"/>
          <w:right w:w="11" w:type="dxa"/>
        </w:tblCellMar>
      </w:tblPr>
      <w:tblGrid>
        <w:gridCol w:w="1423"/>
        <w:gridCol w:w="1361"/>
        <w:gridCol w:w="470"/>
        <w:gridCol w:w="691"/>
        <w:gridCol w:w="691"/>
        <w:gridCol w:w="821"/>
        <w:gridCol w:w="691"/>
        <w:gridCol w:w="823"/>
        <w:gridCol w:w="1357"/>
      </w:tblGrid>
      <w:tr>
        <w:tblPrEx>
          <w:tblCellMar>
            <w:top w:w="0" w:type="dxa"/>
            <w:left w:w="11" w:type="dxa"/>
            <w:bottom w:w="0" w:type="dxa"/>
            <w:right w:w="11" w:type="dxa"/>
          </w:tblCellMar>
        </w:tblPrEx>
        <w:trPr>
          <w:trHeight w:val="340" w:hRule="atLeast"/>
        </w:trPr>
        <w:tc>
          <w:tcPr>
            <w:tcW w:w="14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单位工程名称</w:t>
            </w:r>
          </w:p>
        </w:tc>
        <w:tc>
          <w:tcPr>
            <w:tcW w:w="13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分部工程名称</w:t>
            </w:r>
          </w:p>
        </w:tc>
        <w:tc>
          <w:tcPr>
            <w:tcW w:w="4187"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单元工程现场核查情况</w:t>
            </w:r>
          </w:p>
        </w:tc>
        <w:tc>
          <w:tcPr>
            <w:tcW w:w="13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质量检验结果</w:t>
            </w:r>
          </w:p>
        </w:tc>
      </w:tr>
      <w:tr>
        <w:tblPrEx>
          <w:tblCellMar>
            <w:top w:w="0" w:type="dxa"/>
            <w:left w:w="11" w:type="dxa"/>
            <w:bottom w:w="0" w:type="dxa"/>
            <w:right w:w="11" w:type="dxa"/>
          </w:tblCellMar>
        </w:tblPrEx>
        <w:trPr>
          <w:trHeight w:val="340" w:hRule="atLeast"/>
        </w:trPr>
        <w:tc>
          <w:tcPr>
            <w:tcW w:w="1423" w:type="dxa"/>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widowControl/>
              <w:suppressLineNumbers w:val="0"/>
              <w:spacing w:before="0" w:beforeAutospacing="0" w:after="0" w:afterAutospacing="0"/>
              <w:ind w:left="0" w:right="0"/>
              <w:rPr>
                <w:color w:val="auto"/>
              </w:rPr>
            </w:pPr>
          </w:p>
        </w:tc>
        <w:tc>
          <w:tcPr>
            <w:tcW w:w="1361" w:type="dxa"/>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widowControl/>
              <w:suppressLineNumbers w:val="0"/>
              <w:spacing w:before="0" w:beforeAutospacing="0" w:after="0" w:afterAutospacing="0"/>
              <w:ind w:left="0" w:right="0"/>
              <w:rPr>
                <w:color w:val="auto"/>
              </w:rPr>
            </w:pPr>
          </w:p>
        </w:tc>
        <w:tc>
          <w:tcPr>
            <w:tcW w:w="470" w:type="dxa"/>
            <w:vMerge w:val="restart"/>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总数</w:t>
            </w:r>
          </w:p>
        </w:tc>
        <w:tc>
          <w:tcPr>
            <w:tcW w:w="691" w:type="dxa"/>
            <w:vMerge w:val="restart"/>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抽样数</w:t>
            </w:r>
          </w:p>
        </w:tc>
        <w:tc>
          <w:tcPr>
            <w:tcW w:w="691" w:type="dxa"/>
            <w:vMerge w:val="restart"/>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合格数</w:t>
            </w:r>
          </w:p>
        </w:tc>
        <w:tc>
          <w:tcPr>
            <w:tcW w:w="821"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合格率</w:t>
            </w:r>
          </w:p>
        </w:tc>
        <w:tc>
          <w:tcPr>
            <w:tcW w:w="691" w:type="dxa"/>
            <w:vMerge w:val="restart"/>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优良数</w:t>
            </w:r>
          </w:p>
        </w:tc>
        <w:tc>
          <w:tcPr>
            <w:tcW w:w="823"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优良率</w:t>
            </w:r>
          </w:p>
        </w:tc>
        <w:tc>
          <w:tcPr>
            <w:tcW w:w="1357" w:type="dxa"/>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widowControl/>
              <w:suppressLineNumbers w:val="0"/>
              <w:spacing w:before="0" w:beforeAutospacing="0" w:after="0" w:afterAutospacing="0"/>
              <w:ind w:left="0" w:right="0"/>
              <w:rPr>
                <w:color w:val="auto"/>
              </w:rPr>
            </w:pPr>
          </w:p>
        </w:tc>
      </w:tr>
      <w:tr>
        <w:tblPrEx>
          <w:tblCellMar>
            <w:top w:w="0" w:type="dxa"/>
            <w:left w:w="11" w:type="dxa"/>
            <w:bottom w:w="0" w:type="dxa"/>
            <w:right w:w="11" w:type="dxa"/>
          </w:tblCellMar>
        </w:tblPrEx>
        <w:trPr>
          <w:trHeight w:val="340" w:hRule="atLeast"/>
        </w:trPr>
        <w:tc>
          <w:tcPr>
            <w:tcW w:w="1423" w:type="dxa"/>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widowControl/>
              <w:suppressLineNumbers w:val="0"/>
              <w:spacing w:before="0" w:beforeAutospacing="0" w:after="0" w:afterAutospacing="0"/>
              <w:ind w:left="0" w:right="0"/>
              <w:rPr>
                <w:color w:val="auto"/>
              </w:rPr>
            </w:pPr>
          </w:p>
        </w:tc>
        <w:tc>
          <w:tcPr>
            <w:tcW w:w="1361" w:type="dxa"/>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widowControl/>
              <w:suppressLineNumbers w:val="0"/>
              <w:spacing w:before="0" w:beforeAutospacing="0" w:after="0" w:afterAutospacing="0"/>
              <w:ind w:left="0" w:right="0"/>
              <w:rPr>
                <w:color w:val="auto"/>
              </w:rPr>
            </w:pPr>
          </w:p>
        </w:tc>
        <w:tc>
          <w:tcPr>
            <w:tcW w:w="470" w:type="dxa"/>
            <w:vMerge w:val="continue"/>
            <w:tcBorders>
              <w:top w:val="nil"/>
              <w:left w:val="single" w:color="auto" w:sz="4" w:space="0"/>
              <w:bottom w:val="single" w:color="auto" w:sz="4" w:space="0"/>
              <w:right w:val="single" w:color="auto" w:sz="4" w:space="0"/>
            </w:tcBorders>
            <w:vAlign w:val="center"/>
          </w:tcPr>
          <w:p>
            <w:pPr>
              <w:pStyle w:val="52"/>
              <w:keepNext w:val="0"/>
              <w:keepLines w:val="0"/>
              <w:widowControl/>
              <w:suppressLineNumbers w:val="0"/>
              <w:spacing w:before="0" w:beforeAutospacing="0" w:after="0" w:afterAutospacing="0"/>
              <w:ind w:left="0" w:right="0"/>
              <w:rPr>
                <w:color w:val="auto"/>
              </w:rPr>
            </w:pPr>
          </w:p>
        </w:tc>
        <w:tc>
          <w:tcPr>
            <w:tcW w:w="691" w:type="dxa"/>
            <w:vMerge w:val="continue"/>
            <w:tcBorders>
              <w:top w:val="nil"/>
              <w:left w:val="single" w:color="auto" w:sz="4" w:space="0"/>
              <w:bottom w:val="single" w:color="auto" w:sz="4" w:space="0"/>
              <w:right w:val="single" w:color="auto" w:sz="4" w:space="0"/>
            </w:tcBorders>
            <w:vAlign w:val="center"/>
          </w:tcPr>
          <w:p>
            <w:pPr>
              <w:pStyle w:val="52"/>
              <w:keepNext w:val="0"/>
              <w:keepLines w:val="0"/>
              <w:widowControl/>
              <w:suppressLineNumbers w:val="0"/>
              <w:spacing w:before="0" w:beforeAutospacing="0" w:after="0" w:afterAutospacing="0"/>
              <w:ind w:left="0" w:right="0"/>
              <w:rPr>
                <w:color w:val="auto"/>
              </w:rPr>
            </w:pPr>
          </w:p>
        </w:tc>
        <w:tc>
          <w:tcPr>
            <w:tcW w:w="691" w:type="dxa"/>
            <w:vMerge w:val="continue"/>
            <w:tcBorders>
              <w:top w:val="nil"/>
              <w:left w:val="single" w:color="auto" w:sz="4" w:space="0"/>
              <w:bottom w:val="single" w:color="auto" w:sz="4" w:space="0"/>
              <w:right w:val="single" w:color="auto" w:sz="4" w:space="0"/>
            </w:tcBorders>
            <w:vAlign w:val="center"/>
          </w:tcPr>
          <w:p>
            <w:pPr>
              <w:pStyle w:val="52"/>
              <w:keepNext w:val="0"/>
              <w:keepLines w:val="0"/>
              <w:widowControl/>
              <w:suppressLineNumbers w:val="0"/>
              <w:spacing w:before="0" w:beforeAutospacing="0" w:after="0" w:afterAutospacing="0"/>
              <w:ind w:left="0" w:right="0"/>
              <w:rPr>
                <w:color w:val="auto"/>
              </w:rPr>
            </w:pPr>
          </w:p>
        </w:tc>
        <w:tc>
          <w:tcPr>
            <w:tcW w:w="821"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w:t>
            </w:r>
          </w:p>
        </w:tc>
        <w:tc>
          <w:tcPr>
            <w:tcW w:w="691" w:type="dxa"/>
            <w:vMerge w:val="continue"/>
            <w:tcBorders>
              <w:top w:val="nil"/>
              <w:left w:val="single" w:color="auto" w:sz="4" w:space="0"/>
              <w:bottom w:val="single" w:color="auto" w:sz="4" w:space="0"/>
              <w:right w:val="single" w:color="auto" w:sz="4" w:space="0"/>
            </w:tcBorders>
            <w:vAlign w:val="center"/>
          </w:tcPr>
          <w:p>
            <w:pPr>
              <w:pStyle w:val="52"/>
              <w:keepNext w:val="0"/>
              <w:keepLines w:val="0"/>
              <w:widowControl/>
              <w:suppressLineNumbers w:val="0"/>
              <w:spacing w:before="0" w:beforeAutospacing="0" w:after="0" w:afterAutospacing="0"/>
              <w:ind w:left="0" w:right="0"/>
              <w:rPr>
                <w:color w:val="auto"/>
              </w:rPr>
            </w:pPr>
          </w:p>
        </w:tc>
        <w:tc>
          <w:tcPr>
            <w:tcW w:w="823"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w:t>
            </w:r>
          </w:p>
        </w:tc>
        <w:tc>
          <w:tcPr>
            <w:tcW w:w="1357" w:type="dxa"/>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widowControl/>
              <w:suppressLineNumbers w:val="0"/>
              <w:spacing w:before="0" w:beforeAutospacing="0" w:after="0" w:afterAutospacing="0"/>
              <w:ind w:left="0" w:right="0"/>
              <w:rPr>
                <w:color w:val="auto"/>
              </w:rPr>
            </w:pPr>
          </w:p>
        </w:tc>
      </w:tr>
      <w:tr>
        <w:tblPrEx>
          <w:tblCellMar>
            <w:top w:w="0" w:type="dxa"/>
            <w:left w:w="11" w:type="dxa"/>
            <w:bottom w:w="0" w:type="dxa"/>
            <w:right w:w="11" w:type="dxa"/>
          </w:tblCellMar>
        </w:tblPrEx>
        <w:trPr>
          <w:trHeight w:val="340" w:hRule="atLeast"/>
        </w:trPr>
        <w:tc>
          <w:tcPr>
            <w:tcW w:w="1423"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1"/>
              </w:rPr>
            </w:pPr>
            <w:r>
              <w:rPr>
                <w:color w:val="auto"/>
                <w:szCs w:val="21"/>
              </w:rPr>
              <w:t>防洪排导工程</w:t>
            </w:r>
          </w:p>
        </w:tc>
        <w:tc>
          <w:tcPr>
            <w:tcW w:w="1361"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1"/>
              </w:rPr>
            </w:pPr>
            <w:r>
              <w:rPr>
                <w:color w:val="auto"/>
                <w:szCs w:val="21"/>
              </w:rPr>
              <w:t>排洪导流设施</w:t>
            </w:r>
          </w:p>
        </w:tc>
        <w:tc>
          <w:tcPr>
            <w:tcW w:w="47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default" w:eastAsia="宋体"/>
                <w:color w:val="auto"/>
                <w:lang w:val="en-US" w:eastAsia="zh-CN"/>
              </w:rPr>
            </w:pPr>
            <w:r>
              <w:rPr>
                <w:rFonts w:hint="eastAsia" w:eastAsia="宋体"/>
                <w:color w:val="auto"/>
                <w:lang w:val="en-US" w:eastAsia="zh-CN"/>
              </w:rPr>
              <w:t>10</w:t>
            </w:r>
          </w:p>
        </w:tc>
        <w:tc>
          <w:tcPr>
            <w:tcW w:w="691"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color w:val="auto"/>
                <w:lang w:val="en-US" w:eastAsia="zh-CN"/>
              </w:rPr>
            </w:pPr>
            <w:r>
              <w:rPr>
                <w:rFonts w:hint="eastAsia"/>
                <w:color w:val="auto"/>
                <w:lang w:val="en-US" w:eastAsia="zh-CN"/>
              </w:rPr>
              <w:t>3</w:t>
            </w:r>
          </w:p>
        </w:tc>
        <w:tc>
          <w:tcPr>
            <w:tcW w:w="691"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color w:val="auto"/>
              </w:rPr>
            </w:pPr>
            <w:r>
              <w:rPr>
                <w:rFonts w:hint="eastAsia"/>
                <w:color w:val="auto"/>
                <w:lang w:val="en-US" w:eastAsia="zh-CN"/>
              </w:rPr>
              <w:t>3</w:t>
            </w:r>
          </w:p>
        </w:tc>
        <w:tc>
          <w:tcPr>
            <w:tcW w:w="821"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100%</w:t>
            </w:r>
          </w:p>
        </w:tc>
        <w:tc>
          <w:tcPr>
            <w:tcW w:w="691"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2</w:t>
            </w:r>
          </w:p>
        </w:tc>
        <w:tc>
          <w:tcPr>
            <w:tcW w:w="823"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lang w:val="en-US" w:eastAsia="zh-CN"/>
              </w:rPr>
              <w:t>66.7</w:t>
            </w:r>
            <w:r>
              <w:rPr>
                <w:color w:val="auto"/>
              </w:rPr>
              <w:t>%</w:t>
            </w:r>
          </w:p>
        </w:tc>
        <w:tc>
          <w:tcPr>
            <w:tcW w:w="1357"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1"/>
              </w:rPr>
            </w:pPr>
            <w:r>
              <w:rPr>
                <w:rFonts w:hint="eastAsia"/>
                <w:color w:val="auto"/>
                <w:szCs w:val="21"/>
              </w:rPr>
              <w:t>合格</w:t>
            </w:r>
          </w:p>
        </w:tc>
      </w:tr>
      <w:tr>
        <w:tblPrEx>
          <w:tblCellMar>
            <w:top w:w="0" w:type="dxa"/>
            <w:left w:w="11" w:type="dxa"/>
            <w:bottom w:w="0" w:type="dxa"/>
            <w:right w:w="11" w:type="dxa"/>
          </w:tblCellMar>
        </w:tblPrEx>
        <w:trPr>
          <w:trHeight w:val="340" w:hRule="atLeast"/>
        </w:trPr>
        <w:tc>
          <w:tcPr>
            <w:tcW w:w="1423"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2"/>
              </w:rPr>
            </w:pPr>
            <w:r>
              <w:rPr>
                <w:color w:val="auto"/>
                <w:szCs w:val="22"/>
              </w:rPr>
              <w:t>土地整治工程</w:t>
            </w:r>
          </w:p>
        </w:tc>
        <w:tc>
          <w:tcPr>
            <w:tcW w:w="1361"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1"/>
              </w:rPr>
            </w:pPr>
            <w:r>
              <w:rPr>
                <w:color w:val="auto"/>
                <w:szCs w:val="21"/>
              </w:rPr>
              <w:t>场地整治</w:t>
            </w:r>
          </w:p>
        </w:tc>
        <w:tc>
          <w:tcPr>
            <w:tcW w:w="47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16</w:t>
            </w:r>
          </w:p>
        </w:tc>
        <w:tc>
          <w:tcPr>
            <w:tcW w:w="691"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sz w:val="22"/>
                <w:szCs w:val="22"/>
                <w:lang w:val="en-US" w:eastAsia="zh-CN"/>
              </w:rPr>
            </w:pPr>
            <w:r>
              <w:rPr>
                <w:rFonts w:hint="eastAsia"/>
                <w:color w:val="auto"/>
                <w:lang w:val="en-US" w:eastAsia="zh-CN"/>
              </w:rPr>
              <w:t>10</w:t>
            </w:r>
          </w:p>
        </w:tc>
        <w:tc>
          <w:tcPr>
            <w:tcW w:w="691"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color w:val="auto"/>
              </w:rPr>
            </w:pPr>
            <w:r>
              <w:rPr>
                <w:rFonts w:hint="eastAsia"/>
                <w:color w:val="auto"/>
                <w:lang w:val="en-US" w:eastAsia="zh-CN"/>
              </w:rPr>
              <w:t>10</w:t>
            </w:r>
          </w:p>
        </w:tc>
        <w:tc>
          <w:tcPr>
            <w:tcW w:w="821"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100%</w:t>
            </w:r>
          </w:p>
        </w:tc>
        <w:tc>
          <w:tcPr>
            <w:tcW w:w="691"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color w:val="auto"/>
                <w:sz w:val="22"/>
                <w:szCs w:val="22"/>
                <w:lang w:eastAsia="zh-CN"/>
              </w:rPr>
            </w:pPr>
            <w:r>
              <w:rPr>
                <w:rFonts w:hint="eastAsia"/>
                <w:color w:val="auto"/>
                <w:sz w:val="22"/>
                <w:szCs w:val="22"/>
                <w:lang w:val="en-US" w:eastAsia="zh-CN"/>
              </w:rPr>
              <w:t>2</w:t>
            </w:r>
          </w:p>
        </w:tc>
        <w:tc>
          <w:tcPr>
            <w:tcW w:w="823"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lang w:val="en-US" w:eastAsia="zh-CN"/>
              </w:rPr>
              <w:t>20</w:t>
            </w:r>
            <w:r>
              <w:rPr>
                <w:color w:val="auto"/>
              </w:rPr>
              <w:t>%</w:t>
            </w:r>
          </w:p>
        </w:tc>
        <w:tc>
          <w:tcPr>
            <w:tcW w:w="1357"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1"/>
              </w:rPr>
            </w:pPr>
            <w:r>
              <w:rPr>
                <w:rFonts w:hint="eastAsia"/>
                <w:color w:val="auto"/>
                <w:szCs w:val="21"/>
              </w:rPr>
              <w:t>合格</w:t>
            </w:r>
          </w:p>
        </w:tc>
      </w:tr>
      <w:tr>
        <w:tblPrEx>
          <w:tblCellMar>
            <w:top w:w="0" w:type="dxa"/>
            <w:left w:w="11" w:type="dxa"/>
            <w:bottom w:w="0" w:type="dxa"/>
            <w:right w:w="11" w:type="dxa"/>
          </w:tblCellMar>
        </w:tblPrEx>
        <w:trPr>
          <w:trHeight w:val="340" w:hRule="atLeast"/>
        </w:trPr>
        <w:tc>
          <w:tcPr>
            <w:tcW w:w="27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合计</w:t>
            </w:r>
          </w:p>
        </w:tc>
        <w:tc>
          <w:tcPr>
            <w:tcW w:w="47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default" w:eastAsia="宋体"/>
                <w:color w:val="auto"/>
                <w:lang w:val="en-US" w:eastAsia="zh-CN"/>
              </w:rPr>
            </w:pPr>
            <w:r>
              <w:rPr>
                <w:rFonts w:hint="eastAsia" w:eastAsia="宋体"/>
                <w:color w:val="auto"/>
                <w:lang w:val="en-US" w:eastAsia="zh-CN"/>
              </w:rPr>
              <w:t>26</w:t>
            </w:r>
          </w:p>
        </w:tc>
        <w:tc>
          <w:tcPr>
            <w:tcW w:w="691"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eastAsia="宋体"/>
                <w:color w:val="auto"/>
                <w:lang w:val="en-US" w:eastAsia="zh-CN"/>
              </w:rPr>
              <w:t>13</w:t>
            </w:r>
          </w:p>
        </w:tc>
        <w:tc>
          <w:tcPr>
            <w:tcW w:w="691"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color w:val="auto"/>
              </w:rPr>
            </w:pPr>
            <w:r>
              <w:rPr>
                <w:rFonts w:hint="eastAsia" w:eastAsia="宋体"/>
                <w:color w:val="auto"/>
                <w:lang w:val="en-US" w:eastAsia="zh-CN"/>
              </w:rPr>
              <w:t>13</w:t>
            </w:r>
          </w:p>
        </w:tc>
        <w:tc>
          <w:tcPr>
            <w:tcW w:w="821"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100%</w:t>
            </w:r>
          </w:p>
        </w:tc>
        <w:tc>
          <w:tcPr>
            <w:tcW w:w="691"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color w:val="auto"/>
                <w:lang w:val="en-US" w:eastAsia="zh-CN"/>
              </w:rPr>
            </w:pPr>
            <w:r>
              <w:rPr>
                <w:rFonts w:hint="eastAsia"/>
                <w:color w:val="auto"/>
                <w:lang w:val="en-US" w:eastAsia="zh-CN"/>
              </w:rPr>
              <w:t>4</w:t>
            </w:r>
          </w:p>
        </w:tc>
        <w:tc>
          <w:tcPr>
            <w:tcW w:w="823"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lang w:val="en-US" w:eastAsia="zh-CN"/>
              </w:rPr>
              <w:t>30.8</w:t>
            </w:r>
            <w:r>
              <w:rPr>
                <w:color w:val="auto"/>
              </w:rPr>
              <w:t>%</w:t>
            </w:r>
          </w:p>
        </w:tc>
        <w:tc>
          <w:tcPr>
            <w:tcW w:w="1357"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szCs w:val="21"/>
              </w:rPr>
            </w:pPr>
            <w:r>
              <w:rPr>
                <w:rFonts w:hint="eastAsia"/>
                <w:color w:val="auto"/>
                <w:szCs w:val="21"/>
              </w:rPr>
              <w:t>合格</w:t>
            </w:r>
          </w:p>
        </w:tc>
      </w:tr>
    </w:tbl>
    <w:p>
      <w:pPr>
        <w:spacing w:before="120"/>
        <w:ind w:firstLine="480"/>
      </w:pPr>
      <w:r>
        <w:t>各区水土保持工程措施质量评定结果如下:</w:t>
      </w:r>
    </w:p>
    <w:p>
      <w:pPr>
        <w:spacing w:before="120"/>
        <w:ind w:firstLine="480"/>
      </w:pPr>
      <w:r>
        <w:t>各项目分的区排水沟畅通完整、稳固，排水设施运行正常，排水能力满足设计要求，各类工程措施基本控制了项目区内的水土流失。</w:t>
      </w:r>
    </w:p>
    <w:p>
      <w:pPr>
        <w:spacing w:before="120"/>
        <w:ind w:firstLine="480"/>
      </w:pPr>
      <w:r>
        <w:t>水土保持工程措施检查结果表明：排水沟等工程措施外形美观，无明显工程缺陷，外观质量部分优良，总体合格。所用原材料及施工工艺均达到设计要求，抗风化力强，砌体错缝套茬，嵌砌牢固，水泥砂浆充填密实，勾缝饱满，抹面平整。场地平整碾压密实、平整，覆土厚度满足设计要求。</w:t>
      </w:r>
    </w:p>
    <w:p>
      <w:pPr>
        <w:pStyle w:val="5"/>
        <w:spacing w:before="120"/>
      </w:pPr>
      <w:r>
        <w:t>植物措施现场抽查情况</w:t>
      </w:r>
    </w:p>
    <w:p>
      <w:pPr>
        <w:spacing w:before="120"/>
        <w:ind w:firstLine="480"/>
      </w:pPr>
      <w:r>
        <w:t>水土保持植物措施的评价，按照《开发建设项目水土保持设施验收技术规程》（GB/T</w:t>
      </w:r>
      <w:r>
        <w:rPr>
          <w:vertAlign w:val="superscript"/>
        </w:rPr>
        <w:t xml:space="preserve"> </w:t>
      </w:r>
      <w:r>
        <w:t>22490-2008），《水土保持工程质量评定规程》（SL336-2006）、《开发建设项目水土流失防治标准》（GB50434-2008）和水土保持植物措施验收的相关标准进行。</w:t>
      </w:r>
    </w:p>
    <w:p>
      <w:pPr>
        <w:spacing w:before="120"/>
        <w:ind w:firstLine="480"/>
      </w:pPr>
      <w:r>
        <w:rPr>
          <w:rFonts w:hint="eastAsia"/>
          <w:lang w:eastAsia="zh-CN"/>
        </w:rPr>
        <w:t>甘孜雅江柯拉35千伏输变电工程</w:t>
      </w:r>
      <w:r>
        <w:t>水土保持植物措施验收采用各防治分区现场质量抽查和检测，并结合查阅</w:t>
      </w:r>
      <w:r>
        <w:rPr>
          <w:rFonts w:hint="eastAsia"/>
          <w:lang w:eastAsia="zh-CN"/>
        </w:rPr>
        <w:t>完工</w:t>
      </w:r>
      <w:r>
        <w:t>验收资料，对植物措施质量进行评价。</w:t>
      </w:r>
    </w:p>
    <w:p>
      <w:pPr>
        <w:spacing w:before="120"/>
        <w:ind w:firstLine="480"/>
      </w:pPr>
      <w:r>
        <w:t>一、检查方法和标准</w:t>
      </w:r>
    </w:p>
    <w:p>
      <w:pPr>
        <w:spacing w:before="120"/>
        <w:ind w:firstLine="480"/>
      </w:pPr>
      <w:r>
        <w:t>现场抽查采取了现场普查和抽样详查相结合的方法进行了全面调查。使用普查方法核实植树、种草的数量和绿化面积，采取随机抽样的方法，对植物措施的质量和生长状况进行详查。</w:t>
      </w:r>
    </w:p>
    <w:p>
      <w:pPr>
        <w:spacing w:before="120"/>
        <w:ind w:firstLine="480"/>
      </w:pPr>
      <w:r>
        <w:rPr>
          <w:rFonts w:eastAsia="宋体"/>
        </w:rPr>
        <w:t>①</w:t>
      </w:r>
      <w:r>
        <w:t>植物防护措施面积普查</w:t>
      </w:r>
    </w:p>
    <w:p>
      <w:pPr>
        <w:spacing w:before="120"/>
        <w:ind w:firstLine="480"/>
      </w:pPr>
      <w:r>
        <w:t>对植物措施采用实测法核实，利用测距仪量测每个地块周边数据，进行地块面积计算。</w:t>
      </w:r>
    </w:p>
    <w:p>
      <w:pPr>
        <w:spacing w:before="120"/>
        <w:ind w:firstLine="480"/>
      </w:pPr>
      <w:r>
        <w:rPr>
          <w:rFonts w:eastAsia="宋体"/>
        </w:rPr>
        <w:t>②</w:t>
      </w:r>
      <w:r>
        <w:t>土质及覆土厚度抽检</w:t>
      </w:r>
    </w:p>
    <w:p>
      <w:pPr>
        <w:spacing w:before="120"/>
        <w:ind w:firstLine="480"/>
      </w:pPr>
      <w:r>
        <w:t>土质情况主要检查有无石砾，是否宜于种植；需覆土段厚度则根据植物工程设计中的覆土要求，现场采用插扦核实。</w:t>
      </w:r>
    </w:p>
    <w:p>
      <w:pPr>
        <w:spacing w:before="120"/>
        <w:ind w:firstLine="480"/>
      </w:pPr>
      <w:r>
        <w:rPr>
          <w:rFonts w:eastAsia="宋体"/>
        </w:rPr>
        <w:t>③</w:t>
      </w:r>
      <w:r>
        <w:t>植被覆盖及合格率抽检</w:t>
      </w:r>
    </w:p>
    <w:p>
      <w:pPr>
        <w:spacing w:before="120"/>
        <w:ind w:firstLine="480"/>
      </w:pPr>
      <w:r>
        <w:t>草区选取面积1～4m</w:t>
      </w:r>
      <w:r>
        <w:rPr>
          <w:vertAlign w:val="superscript"/>
        </w:rPr>
        <w:t>2</w:t>
      </w:r>
      <w:r>
        <w:t>样方小区随机抽检计算覆盖度，覆盖度计算采用量测法和目测法，同时通过调查记录成活和死亡株数，计算成活率。种草按出苗成活率计算植物措施面积，出苗成活率大于80%确认合格，计入植物措施面积；60%～80%为补植，小于60%为不合格，不计入植物措施面积。</w:t>
      </w:r>
    </w:p>
    <w:p>
      <w:pPr>
        <w:spacing w:before="120"/>
        <w:ind w:firstLine="480"/>
      </w:pPr>
      <w:r>
        <w:rPr>
          <w:rFonts w:eastAsia="宋体"/>
        </w:rPr>
        <w:t>④</w:t>
      </w:r>
      <w:r>
        <w:t>生长状况抽检</w:t>
      </w:r>
    </w:p>
    <w:p>
      <w:pPr>
        <w:spacing w:before="120"/>
        <w:ind w:firstLine="480"/>
      </w:pPr>
      <w:r>
        <w:t>对详查区内的花、草的抽梢、叶片色泽、病虫害、长势情况进行抽检。质量分3级：良好、一般、差。</w:t>
      </w:r>
    </w:p>
    <w:p>
      <w:pPr>
        <w:spacing w:before="120"/>
        <w:ind w:firstLine="480"/>
      </w:pPr>
      <w:r>
        <w:t>二、植物措施面积抽查情况</w:t>
      </w:r>
    </w:p>
    <w:p>
      <w:pPr>
        <w:spacing w:before="120"/>
        <w:ind w:firstLine="480"/>
      </w:pPr>
      <w:r>
        <w:t>报告编制组对防治责任分区内的植物措施的实施情况进行了现场普查并进行拍照，对重点地段进行了详查。详查采取沿植物带随机定位抽查方式。</w:t>
      </w:r>
    </w:p>
    <w:p>
      <w:pPr>
        <w:spacing w:before="120"/>
        <w:ind w:firstLine="480"/>
      </w:pPr>
      <w:r>
        <w:t>撒草是植物措施的主要防治手段，本项目各防治分区的裸露地表都进行了撒草绿化进行防治。草籽品种主要有：早熟禾、披咸草等。</w:t>
      </w:r>
    </w:p>
    <w:p>
      <w:pPr>
        <w:spacing w:before="120"/>
        <w:ind w:firstLine="480"/>
      </w:pPr>
      <w:r>
        <w:t>三、现场抽查统计情况</w:t>
      </w:r>
    </w:p>
    <w:p>
      <w:pPr>
        <w:spacing w:before="120"/>
        <w:ind w:firstLine="480"/>
      </w:pPr>
      <w:r>
        <w:t>20</w:t>
      </w:r>
      <w:r>
        <w:rPr>
          <w:rFonts w:hint="eastAsia"/>
        </w:rPr>
        <w:t>21</w:t>
      </w:r>
      <w:r>
        <w:t>年1月，报告编制组对实施水土保持植物措施的2个一级水土流失防治分区，1单位工程及</w:t>
      </w:r>
      <w:r>
        <w:rPr>
          <w:rFonts w:hint="eastAsia"/>
          <w:lang w:val="en-US" w:eastAsia="zh-CN"/>
        </w:rPr>
        <w:t>1</w:t>
      </w:r>
      <w:r>
        <w:t>个分部工程全部进行了现场检查并拍照，对</w:t>
      </w:r>
      <w:r>
        <w:rPr>
          <w:rFonts w:hint="eastAsia"/>
          <w:lang w:val="en-US" w:eastAsia="zh-CN"/>
        </w:rPr>
        <w:t>5</w:t>
      </w:r>
      <w:r>
        <w:t>处抽样点进行了详细核查，植物措施现场抽查情况见下表。</w:t>
      </w:r>
    </w:p>
    <w:p>
      <w:pPr>
        <w:pStyle w:val="57"/>
        <w:spacing w:before="120"/>
        <w:rPr>
          <w:color w:val="auto"/>
        </w:rPr>
      </w:pPr>
      <w:r>
        <w:rPr>
          <w:color w:val="auto"/>
        </w:rPr>
        <w:t>水土保持植物措施外观质量现场抽查情况汇总表</w:t>
      </w:r>
    </w:p>
    <w:p>
      <w:pPr>
        <w:pStyle w:val="13"/>
      </w:pPr>
      <w:r>
        <w:t>表</w:t>
      </w:r>
      <w:r>
        <w:rPr>
          <w:vertAlign w:val="superscript"/>
        </w:rPr>
        <w:t xml:space="preserve"> </w:t>
      </w:r>
      <w:r>
        <w:fldChar w:fldCharType="begin"/>
      </w:r>
      <w:r>
        <w:instrText xml:space="preserve"> STYLEREF 2 \s </w:instrText>
      </w:r>
      <w:r>
        <w:fldChar w:fldCharType="separate"/>
      </w:r>
      <w:r>
        <w:t>4.2</w:t>
      </w:r>
      <w:r>
        <w:fldChar w:fldCharType="end"/>
      </w:r>
      <w:r>
        <w:noBreakHyphen/>
      </w:r>
      <w:r>
        <w:fldChar w:fldCharType="begin"/>
      </w:r>
      <w:r>
        <w:instrText xml:space="preserve"> SEQ 表 \* ARABIC \s 2 </w:instrText>
      </w:r>
      <w:r>
        <w:fldChar w:fldCharType="separate"/>
      </w:r>
      <w:r>
        <w:t>6</w:t>
      </w:r>
      <w:r>
        <w:fldChar w:fldCharType="end"/>
      </w:r>
    </w:p>
    <w:tbl>
      <w:tblPr>
        <w:tblStyle w:val="32"/>
        <w:tblW w:w="8522" w:type="dxa"/>
        <w:tblInd w:w="0" w:type="dxa"/>
        <w:tblLayout w:type="fixed"/>
        <w:tblCellMar>
          <w:top w:w="0" w:type="dxa"/>
          <w:left w:w="108" w:type="dxa"/>
          <w:bottom w:w="0" w:type="dxa"/>
          <w:right w:w="108" w:type="dxa"/>
        </w:tblCellMar>
      </w:tblPr>
      <w:tblGrid>
        <w:gridCol w:w="964"/>
        <w:gridCol w:w="1132"/>
        <w:gridCol w:w="712"/>
        <w:gridCol w:w="712"/>
        <w:gridCol w:w="846"/>
        <w:gridCol w:w="970"/>
        <w:gridCol w:w="846"/>
        <w:gridCol w:w="864"/>
        <w:gridCol w:w="1476"/>
      </w:tblGrid>
      <w:tr>
        <w:tblPrEx>
          <w:tblCellMar>
            <w:top w:w="0" w:type="dxa"/>
            <w:left w:w="108" w:type="dxa"/>
            <w:bottom w:w="0" w:type="dxa"/>
            <w:right w:w="108" w:type="dxa"/>
          </w:tblCellMar>
        </w:tblPrEx>
        <w:trPr>
          <w:trHeight w:val="340" w:hRule="atLeast"/>
          <w:tblHeader/>
        </w:trPr>
        <w:tc>
          <w:tcPr>
            <w:tcW w:w="964" w:type="dxa"/>
            <w:vMerge w:val="restart"/>
            <w:tcBorders>
              <w:top w:val="single" w:color="000000" w:sz="8" w:space="0"/>
              <w:left w:val="single" w:color="000000" w:sz="8" w:space="0"/>
              <w:right w:val="single" w:color="000000" w:sz="8"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单位工程</w:t>
            </w:r>
          </w:p>
          <w:p>
            <w:pPr>
              <w:pStyle w:val="52"/>
              <w:keepNext w:val="0"/>
              <w:keepLines w:val="0"/>
              <w:widowControl/>
              <w:suppressLineNumbers w:val="0"/>
              <w:spacing w:before="0" w:beforeAutospacing="0" w:after="0" w:afterAutospacing="0"/>
              <w:ind w:left="0" w:right="0"/>
              <w:rPr>
                <w:rFonts w:cs="Times New Roman"/>
                <w:color w:val="auto"/>
                <w:szCs w:val="20"/>
              </w:rPr>
            </w:pPr>
            <w:r>
              <w:rPr>
                <w:rFonts w:cs="Times New Roman"/>
                <w:color w:val="auto"/>
              </w:rPr>
              <w:t>名称</w:t>
            </w:r>
          </w:p>
        </w:tc>
        <w:tc>
          <w:tcPr>
            <w:tcW w:w="1132" w:type="dxa"/>
            <w:vMerge w:val="restart"/>
            <w:tcBorders>
              <w:top w:val="single" w:color="000000" w:sz="8" w:space="0"/>
              <w:left w:val="nil"/>
              <w:right w:val="single" w:color="000000" w:sz="8"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分部工程</w:t>
            </w:r>
          </w:p>
          <w:p>
            <w:pPr>
              <w:pStyle w:val="52"/>
              <w:keepNext w:val="0"/>
              <w:keepLines w:val="0"/>
              <w:widowControl/>
              <w:suppressLineNumbers w:val="0"/>
              <w:spacing w:before="0" w:beforeAutospacing="0" w:after="0" w:afterAutospacing="0"/>
              <w:ind w:left="0" w:right="0"/>
              <w:rPr>
                <w:rFonts w:cs="Times New Roman"/>
                <w:color w:val="auto"/>
                <w:szCs w:val="20"/>
              </w:rPr>
            </w:pPr>
            <w:r>
              <w:rPr>
                <w:rFonts w:cs="Times New Roman"/>
                <w:color w:val="auto"/>
              </w:rPr>
              <w:t>名称</w:t>
            </w:r>
          </w:p>
        </w:tc>
        <w:tc>
          <w:tcPr>
            <w:tcW w:w="4950" w:type="dxa"/>
            <w:gridSpan w:val="6"/>
            <w:tcBorders>
              <w:top w:val="single" w:color="000000" w:sz="8" w:space="0"/>
              <w:left w:val="nil"/>
              <w:bottom w:val="single" w:color="000000" w:sz="8" w:space="0"/>
              <w:right w:val="single" w:color="000000" w:sz="8"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Cs w:val="20"/>
              </w:rPr>
            </w:pPr>
            <w:r>
              <w:rPr>
                <w:rFonts w:cs="Times New Roman"/>
                <w:color w:val="auto"/>
              </w:rPr>
              <w:t>单元工程现场核查情况</w:t>
            </w:r>
          </w:p>
        </w:tc>
        <w:tc>
          <w:tcPr>
            <w:tcW w:w="1476" w:type="dxa"/>
            <w:vMerge w:val="restart"/>
            <w:tcBorders>
              <w:top w:val="single" w:color="000000" w:sz="8" w:space="0"/>
              <w:left w:val="nil"/>
              <w:right w:val="single" w:color="000000" w:sz="8"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Cs w:val="20"/>
              </w:rPr>
            </w:pPr>
            <w:r>
              <w:rPr>
                <w:rFonts w:cs="Times New Roman"/>
                <w:color w:val="auto"/>
              </w:rPr>
              <w:t>质量检验结果</w:t>
            </w:r>
          </w:p>
        </w:tc>
      </w:tr>
      <w:tr>
        <w:tblPrEx>
          <w:tblCellMar>
            <w:top w:w="0" w:type="dxa"/>
            <w:left w:w="108" w:type="dxa"/>
            <w:bottom w:w="0" w:type="dxa"/>
            <w:right w:w="108" w:type="dxa"/>
          </w:tblCellMar>
        </w:tblPrEx>
        <w:trPr>
          <w:trHeight w:val="340" w:hRule="atLeast"/>
          <w:tblHeader/>
        </w:trPr>
        <w:tc>
          <w:tcPr>
            <w:tcW w:w="964" w:type="dxa"/>
            <w:vMerge w:val="continue"/>
            <w:tcBorders>
              <w:left w:val="single" w:color="000000" w:sz="8" w:space="0"/>
              <w:bottom w:val="single" w:color="000000" w:sz="8" w:space="0"/>
              <w:right w:val="single" w:color="000000" w:sz="8"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Cs w:val="20"/>
              </w:rPr>
            </w:pPr>
          </w:p>
        </w:tc>
        <w:tc>
          <w:tcPr>
            <w:tcW w:w="1132" w:type="dxa"/>
            <w:vMerge w:val="continue"/>
            <w:tcBorders>
              <w:left w:val="nil"/>
              <w:bottom w:val="single" w:color="000000" w:sz="8" w:space="0"/>
              <w:right w:val="single" w:color="000000" w:sz="8"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Cs w:val="20"/>
              </w:rPr>
            </w:pPr>
          </w:p>
        </w:tc>
        <w:tc>
          <w:tcPr>
            <w:tcW w:w="712" w:type="dxa"/>
            <w:tcBorders>
              <w:top w:val="nil"/>
              <w:left w:val="nil"/>
              <w:bottom w:val="single" w:color="000000" w:sz="8" w:space="0"/>
              <w:right w:val="single" w:color="000000" w:sz="8"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Cs w:val="20"/>
              </w:rPr>
            </w:pPr>
            <w:r>
              <w:rPr>
                <w:rFonts w:cs="Times New Roman"/>
                <w:color w:val="auto"/>
                <w:szCs w:val="22"/>
              </w:rPr>
              <w:t>总数</w:t>
            </w:r>
          </w:p>
        </w:tc>
        <w:tc>
          <w:tcPr>
            <w:tcW w:w="712" w:type="dxa"/>
            <w:tcBorders>
              <w:top w:val="nil"/>
              <w:left w:val="nil"/>
              <w:bottom w:val="single" w:color="000000" w:sz="8" w:space="0"/>
              <w:right w:val="single" w:color="000000" w:sz="8"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Cs w:val="20"/>
              </w:rPr>
            </w:pPr>
            <w:r>
              <w:rPr>
                <w:rFonts w:cs="Times New Roman"/>
                <w:color w:val="auto"/>
              </w:rPr>
              <w:t>抽样数</w:t>
            </w:r>
          </w:p>
        </w:tc>
        <w:tc>
          <w:tcPr>
            <w:tcW w:w="846" w:type="dxa"/>
            <w:tcBorders>
              <w:top w:val="nil"/>
              <w:left w:val="nil"/>
              <w:bottom w:val="single" w:color="000000" w:sz="8" w:space="0"/>
              <w:right w:val="single" w:color="000000" w:sz="8"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Cs w:val="20"/>
              </w:rPr>
            </w:pPr>
            <w:r>
              <w:rPr>
                <w:rFonts w:cs="Times New Roman"/>
                <w:color w:val="auto"/>
                <w:szCs w:val="22"/>
              </w:rPr>
              <w:t>合格数</w:t>
            </w:r>
          </w:p>
        </w:tc>
        <w:tc>
          <w:tcPr>
            <w:tcW w:w="970" w:type="dxa"/>
            <w:tcBorders>
              <w:top w:val="nil"/>
              <w:left w:val="nil"/>
              <w:bottom w:val="single" w:color="000000" w:sz="8" w:space="0"/>
              <w:right w:val="single" w:color="000000" w:sz="8"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合格率</w:t>
            </w:r>
          </w:p>
          <w:p>
            <w:pPr>
              <w:pStyle w:val="52"/>
              <w:keepNext w:val="0"/>
              <w:keepLines w:val="0"/>
              <w:widowControl/>
              <w:suppressLineNumbers w:val="0"/>
              <w:spacing w:before="0" w:beforeAutospacing="0" w:after="0" w:afterAutospacing="0"/>
              <w:ind w:left="0" w:right="0"/>
              <w:rPr>
                <w:rFonts w:cs="Times New Roman"/>
                <w:color w:val="auto"/>
                <w:szCs w:val="20"/>
              </w:rPr>
            </w:pPr>
            <w:r>
              <w:rPr>
                <w:rFonts w:cs="Times New Roman"/>
                <w:color w:val="auto"/>
              </w:rPr>
              <w:t>（%）</w:t>
            </w:r>
          </w:p>
        </w:tc>
        <w:tc>
          <w:tcPr>
            <w:tcW w:w="846" w:type="dxa"/>
            <w:tcBorders>
              <w:top w:val="nil"/>
              <w:left w:val="nil"/>
              <w:bottom w:val="single" w:color="000000" w:sz="8" w:space="0"/>
              <w:right w:val="single" w:color="000000" w:sz="8"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Cs w:val="20"/>
              </w:rPr>
            </w:pPr>
            <w:r>
              <w:rPr>
                <w:rFonts w:cs="Times New Roman"/>
                <w:color w:val="auto"/>
              </w:rPr>
              <w:t>优良数</w:t>
            </w:r>
          </w:p>
        </w:tc>
        <w:tc>
          <w:tcPr>
            <w:tcW w:w="864" w:type="dxa"/>
            <w:tcBorders>
              <w:top w:val="nil"/>
              <w:left w:val="nil"/>
              <w:bottom w:val="single" w:color="000000" w:sz="8" w:space="0"/>
              <w:right w:val="single" w:color="000000" w:sz="8"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优良率</w:t>
            </w:r>
          </w:p>
          <w:p>
            <w:pPr>
              <w:pStyle w:val="52"/>
              <w:keepNext w:val="0"/>
              <w:keepLines w:val="0"/>
              <w:widowControl/>
              <w:suppressLineNumbers w:val="0"/>
              <w:spacing w:before="0" w:beforeAutospacing="0" w:after="0" w:afterAutospacing="0"/>
              <w:ind w:left="0" w:right="0"/>
              <w:rPr>
                <w:rFonts w:cs="Times New Roman"/>
                <w:color w:val="auto"/>
                <w:szCs w:val="20"/>
              </w:rPr>
            </w:pPr>
            <w:r>
              <w:rPr>
                <w:rFonts w:cs="Times New Roman"/>
                <w:color w:val="auto"/>
              </w:rPr>
              <w:t>（%）</w:t>
            </w:r>
          </w:p>
        </w:tc>
        <w:tc>
          <w:tcPr>
            <w:tcW w:w="1476" w:type="dxa"/>
            <w:vMerge w:val="continue"/>
            <w:tcBorders>
              <w:left w:val="nil"/>
              <w:bottom w:val="single" w:color="000000" w:sz="8" w:space="0"/>
              <w:right w:val="single" w:color="000000" w:sz="8"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Cs w:val="20"/>
              </w:rPr>
            </w:pPr>
          </w:p>
        </w:tc>
      </w:tr>
      <w:tr>
        <w:tblPrEx>
          <w:tblCellMar>
            <w:top w:w="0" w:type="dxa"/>
            <w:left w:w="108" w:type="dxa"/>
            <w:bottom w:w="0" w:type="dxa"/>
            <w:right w:w="108" w:type="dxa"/>
          </w:tblCellMar>
        </w:tblPrEx>
        <w:trPr>
          <w:trHeight w:val="340" w:hRule="atLeast"/>
        </w:trPr>
        <w:tc>
          <w:tcPr>
            <w:tcW w:w="964" w:type="dxa"/>
            <w:tcBorders>
              <w:top w:val="nil"/>
              <w:left w:val="single" w:color="000000" w:sz="8" w:space="0"/>
              <w:bottom w:val="single" w:color="000000" w:sz="8" w:space="0"/>
              <w:right w:val="single" w:color="000000" w:sz="8"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Cs w:val="20"/>
              </w:rPr>
            </w:pPr>
            <w:r>
              <w:rPr>
                <w:rFonts w:cs="Times New Roman"/>
                <w:color w:val="auto"/>
                <w:szCs w:val="21"/>
              </w:rPr>
              <w:t>植被建设工程</w:t>
            </w:r>
          </w:p>
        </w:tc>
        <w:tc>
          <w:tcPr>
            <w:tcW w:w="1132" w:type="dxa"/>
            <w:tcBorders>
              <w:top w:val="nil"/>
              <w:left w:val="nil"/>
              <w:bottom w:val="single" w:color="000000" w:sz="8" w:space="0"/>
              <w:right w:val="single" w:color="000000" w:sz="8"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Cs w:val="20"/>
              </w:rPr>
            </w:pPr>
            <w:r>
              <w:rPr>
                <w:rFonts w:cs="Times New Roman"/>
                <w:color w:val="auto"/>
                <w:szCs w:val="21"/>
              </w:rPr>
              <w:t>点片状植被绿化</w:t>
            </w:r>
          </w:p>
        </w:tc>
        <w:tc>
          <w:tcPr>
            <w:tcW w:w="712" w:type="dxa"/>
            <w:tcBorders>
              <w:top w:val="nil"/>
              <w:left w:val="nil"/>
              <w:bottom w:val="single" w:color="auto" w:sz="8" w:space="0"/>
              <w:right w:val="single" w:color="auto" w:sz="8"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default" w:eastAsia="宋体"/>
                <w:color w:val="auto"/>
                <w:lang w:val="en-US" w:eastAsia="zh-CN"/>
              </w:rPr>
            </w:pPr>
            <w:r>
              <w:rPr>
                <w:rFonts w:hint="eastAsia" w:eastAsia="宋体"/>
                <w:color w:val="auto"/>
                <w:lang w:val="en-US" w:eastAsia="zh-CN"/>
              </w:rPr>
              <w:t>16</w:t>
            </w:r>
          </w:p>
        </w:tc>
        <w:tc>
          <w:tcPr>
            <w:tcW w:w="712" w:type="dxa"/>
            <w:tcBorders>
              <w:top w:val="nil"/>
              <w:left w:val="nil"/>
              <w:bottom w:val="single" w:color="auto" w:sz="8" w:space="0"/>
              <w:right w:val="single" w:color="auto" w:sz="8"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color w:val="auto"/>
                <w:lang w:eastAsia="zh-CN"/>
              </w:rPr>
            </w:pPr>
            <w:r>
              <w:rPr>
                <w:rFonts w:hint="eastAsia"/>
                <w:color w:val="auto"/>
                <w:lang w:val="en-US" w:eastAsia="zh-CN"/>
              </w:rPr>
              <w:t>5</w:t>
            </w:r>
          </w:p>
        </w:tc>
        <w:tc>
          <w:tcPr>
            <w:tcW w:w="846" w:type="dxa"/>
            <w:tcBorders>
              <w:top w:val="nil"/>
              <w:left w:val="nil"/>
              <w:bottom w:val="single" w:color="auto" w:sz="8" w:space="0"/>
              <w:right w:val="single" w:color="auto" w:sz="8"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color w:val="auto"/>
                <w:lang w:eastAsia="zh-CN"/>
              </w:rPr>
            </w:pPr>
            <w:r>
              <w:rPr>
                <w:rFonts w:hint="eastAsia"/>
                <w:color w:val="auto"/>
                <w:lang w:val="en-US" w:eastAsia="zh-CN"/>
              </w:rPr>
              <w:t>5</w:t>
            </w:r>
          </w:p>
        </w:tc>
        <w:tc>
          <w:tcPr>
            <w:tcW w:w="970" w:type="dxa"/>
            <w:tcBorders>
              <w:top w:val="nil"/>
              <w:left w:val="nil"/>
              <w:bottom w:val="single" w:color="auto" w:sz="8" w:space="0"/>
              <w:right w:val="single" w:color="auto" w:sz="8"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100%</w:t>
            </w:r>
          </w:p>
        </w:tc>
        <w:tc>
          <w:tcPr>
            <w:tcW w:w="846" w:type="dxa"/>
            <w:tcBorders>
              <w:top w:val="nil"/>
              <w:left w:val="nil"/>
              <w:bottom w:val="single" w:color="auto" w:sz="8" w:space="0"/>
              <w:right w:val="single" w:color="auto" w:sz="8"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color w:val="auto"/>
                <w:lang w:eastAsia="zh-CN"/>
              </w:rPr>
            </w:pPr>
            <w:r>
              <w:rPr>
                <w:rFonts w:hint="eastAsia"/>
                <w:color w:val="auto"/>
                <w:lang w:val="en-US" w:eastAsia="zh-CN"/>
              </w:rPr>
              <w:t>1</w:t>
            </w:r>
          </w:p>
        </w:tc>
        <w:tc>
          <w:tcPr>
            <w:tcW w:w="864" w:type="dxa"/>
            <w:tcBorders>
              <w:top w:val="nil"/>
              <w:left w:val="nil"/>
              <w:bottom w:val="single" w:color="auto" w:sz="8" w:space="0"/>
              <w:right w:val="single" w:color="auto" w:sz="8"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lang w:val="en-US" w:eastAsia="zh-CN"/>
              </w:rPr>
              <w:t>20</w:t>
            </w:r>
            <w:r>
              <w:rPr>
                <w:color w:val="auto"/>
              </w:rPr>
              <w:t>%</w:t>
            </w:r>
          </w:p>
        </w:tc>
        <w:tc>
          <w:tcPr>
            <w:tcW w:w="1476" w:type="dxa"/>
            <w:tcBorders>
              <w:top w:val="nil"/>
              <w:left w:val="nil"/>
              <w:bottom w:val="single" w:color="000000" w:sz="8" w:space="0"/>
              <w:right w:val="single" w:color="000000" w:sz="8" w:space="0"/>
            </w:tcBorders>
            <w:shd w:val="clear" w:color="auto" w:fill="auto"/>
            <w:vAlign w:val="center"/>
          </w:tcPr>
          <w:p>
            <w:pPr>
              <w:pStyle w:val="52"/>
              <w:keepNext w:val="0"/>
              <w:keepLines w:val="0"/>
              <w:widowControl/>
              <w:suppressLineNumbers w:val="0"/>
              <w:spacing w:before="0" w:beforeAutospacing="0" w:after="0" w:afterAutospacing="0"/>
              <w:ind w:left="0" w:right="0"/>
              <w:rPr>
                <w:rFonts w:ascii="仿宋_GB2312" w:hAnsi="宋体" w:cs="宋体"/>
                <w:color w:val="auto"/>
              </w:rPr>
            </w:pPr>
            <w:r>
              <w:rPr>
                <w:rFonts w:hint="eastAsia" w:ascii="仿宋_GB2312"/>
                <w:color w:val="auto"/>
              </w:rPr>
              <w:t>合格</w:t>
            </w:r>
          </w:p>
        </w:tc>
      </w:tr>
    </w:tbl>
    <w:p>
      <w:pPr>
        <w:spacing w:before="120"/>
        <w:ind w:firstLine="480"/>
      </w:pPr>
      <w:r>
        <w:t>项目1个防治分区的植物措施均以</w:t>
      </w:r>
      <w:r>
        <w:rPr>
          <w:rFonts w:hint="eastAsia"/>
        </w:rPr>
        <w:t>撒</w:t>
      </w:r>
      <w:r>
        <w:t>草</w:t>
      </w:r>
      <w:r>
        <w:rPr>
          <w:rFonts w:hint="eastAsia"/>
        </w:rPr>
        <w:t>绿化</w:t>
      </w:r>
      <w:r>
        <w:t>为主，各防治分区内植物生长情况</w:t>
      </w:r>
      <w:r>
        <w:rPr>
          <w:rFonts w:hint="eastAsia"/>
          <w:lang w:val="en-US" w:eastAsia="zh-CN"/>
        </w:rPr>
        <w:t>一般</w:t>
      </w:r>
      <w:r>
        <w:t>，基本能控制各区水土流失</w:t>
      </w:r>
      <w:r>
        <w:rPr>
          <w:rFonts w:hint="eastAsia"/>
          <w:lang w:eastAsia="zh-CN"/>
        </w:rPr>
        <w:t>，</w:t>
      </w:r>
      <w:r>
        <w:rPr>
          <w:rFonts w:hint="eastAsia"/>
          <w:lang w:val="en-US" w:eastAsia="zh-CN"/>
        </w:rPr>
        <w:t>但后期</w:t>
      </w:r>
      <w:r>
        <w:t>抚育管理、养护措施</w:t>
      </w:r>
      <w:r>
        <w:rPr>
          <w:rFonts w:hint="eastAsia"/>
          <w:lang w:val="en-US" w:eastAsia="zh-CN"/>
        </w:rPr>
        <w:t>一定要</w:t>
      </w:r>
      <w:r>
        <w:t>落实到位。</w:t>
      </w:r>
    </w:p>
    <w:p>
      <w:pPr>
        <w:spacing w:before="120"/>
        <w:ind w:firstLine="480"/>
      </w:pPr>
      <w:r>
        <w:t>水土保持植物措施检查结果表明：</w:t>
      </w:r>
      <w:r>
        <w:rPr>
          <w:rFonts w:hint="eastAsia"/>
          <w:lang w:eastAsia="zh-CN"/>
        </w:rPr>
        <w:t>甘孜雅江柯拉35千伏输变电工程</w:t>
      </w:r>
      <w:r>
        <w:t>植物措施布设，绿化搭配基本合理，基本满足水土保持要求。</w:t>
      </w:r>
      <w:bookmarkStart w:id="128" w:name="_Toc515873343"/>
    </w:p>
    <w:p>
      <w:pPr>
        <w:pStyle w:val="3"/>
        <w:spacing w:before="120" w:after="120"/>
        <w:rPr>
          <w:b/>
          <w:bCs/>
        </w:rPr>
      </w:pPr>
      <w:bookmarkStart w:id="129" w:name="_Toc13548"/>
      <w:r>
        <w:rPr>
          <w:b/>
          <w:bCs/>
        </w:rPr>
        <w:t>弃渣场稳定性评估</w:t>
      </w:r>
      <w:bookmarkEnd w:id="128"/>
      <w:bookmarkEnd w:id="129"/>
    </w:p>
    <w:p>
      <w:pPr>
        <w:spacing w:before="120"/>
        <w:ind w:firstLine="480"/>
      </w:pPr>
      <w:r>
        <w:t>本工程未设置弃渣场。</w:t>
      </w:r>
    </w:p>
    <w:p>
      <w:pPr>
        <w:pStyle w:val="3"/>
        <w:spacing w:before="120" w:after="120"/>
        <w:rPr>
          <w:b/>
          <w:bCs/>
        </w:rPr>
      </w:pPr>
      <w:bookmarkStart w:id="130" w:name="_Toc515873344"/>
      <w:bookmarkStart w:id="131" w:name="_Toc30927"/>
      <w:r>
        <w:rPr>
          <w:b/>
          <w:bCs/>
        </w:rPr>
        <w:t>总体质量评价</w:t>
      </w:r>
      <w:bookmarkEnd w:id="130"/>
      <w:bookmarkEnd w:id="131"/>
    </w:p>
    <w:p>
      <w:pPr>
        <w:spacing w:before="120"/>
        <w:ind w:firstLine="480"/>
        <w:jc w:val="left"/>
      </w:pPr>
      <w:r>
        <w:t>建设单位在工程建设中高度重视水土保持工作，将水土保持工程纳入主体工程施工之中，建立了项目法人负责、监理单位控制、施工单位保证、政府职能部门监督的管理体系，对整个项目实行了项目法人制、招标投标制、建设监理制和合同管理制的质量管理体系。监理单位做到了全过程监理，对进入工程实体的原材料、中间产品和成品进行了抽样检查、试验，对不合格材料严禁投入使用，有效地保证了工程质量。</w:t>
      </w:r>
    </w:p>
    <w:p>
      <w:pPr>
        <w:spacing w:before="120"/>
        <w:ind w:firstLine="480"/>
        <w:jc w:val="left"/>
      </w:pPr>
      <w:r>
        <w:t>经过内业</w:t>
      </w:r>
      <w:r>
        <w:rPr>
          <w:rFonts w:hint="eastAsia"/>
          <w:lang w:eastAsia="zh-CN"/>
        </w:rPr>
        <w:t>完工</w:t>
      </w:r>
      <w:r>
        <w:t>资料检查和现场抽查分析，对本项目水土保持工程措施质量评价如下：排水工程砌体抹面平整、压光、直顺，无裂缝、空鼓等现象，砌体砂浆配合比准确，砌缝内砂浆均匀饱满、勾缝密实，浆砌石质量和规格符合设计要求；工程整地严格按照表土堆放、土地平整、表土返填、覆盖造地的顺序进行，覆土平均厚度达到设计要求，工程扰动土地得以改善，土地生产力得以恢复，确保了植物生长。</w:t>
      </w:r>
    </w:p>
    <w:p>
      <w:pPr>
        <w:spacing w:before="120"/>
        <w:ind w:firstLine="480"/>
        <w:jc w:val="left"/>
      </w:pPr>
      <w:r>
        <w:rPr>
          <w:rFonts w:hint="eastAsia"/>
          <w:lang w:eastAsia="zh-CN"/>
        </w:rPr>
        <w:t>甘孜雅江柯拉35千伏输变电工程</w:t>
      </w:r>
      <w:r>
        <w:t>水土保持植物措施</w:t>
      </w:r>
      <w:r>
        <w:rPr>
          <w:rFonts w:hint="eastAsia"/>
          <w:lang w:eastAsia="zh-CN"/>
        </w:rPr>
        <w:t>完工</w:t>
      </w:r>
      <w:r>
        <w:t>后，建设单位联合监理单位、施工单位对植物措施进行了检查验收。验收数据表明，植物措施达到了设计与合同的要求，符合行业规范。</w:t>
      </w:r>
    </w:p>
    <w:p>
      <w:pPr>
        <w:spacing w:before="120"/>
        <w:ind w:firstLine="480"/>
        <w:jc w:val="left"/>
        <w:sectPr>
          <w:headerReference r:id="rId29" w:type="default"/>
          <w:pgSz w:w="11906" w:h="16838"/>
          <w:pgMar w:top="1440" w:right="1800" w:bottom="1440" w:left="1800" w:header="708" w:footer="708" w:gutter="0"/>
          <w:pgNumType w:fmt="numberInDash"/>
          <w:cols w:space="708" w:num="1"/>
          <w:docGrid w:linePitch="381" w:charSpace="0"/>
        </w:sectPr>
      </w:pPr>
      <w:r>
        <w:t>经报告编制组实地调查复核，</w:t>
      </w:r>
      <w:r>
        <w:rPr>
          <w:rFonts w:hint="eastAsia"/>
          <w:lang w:eastAsia="zh-CN"/>
        </w:rPr>
        <w:t>甘孜雅江柯拉35千伏输变电工程</w:t>
      </w:r>
      <w:r>
        <w:t>水土保持植物措施：草本植物品种选择合理，管理措施得力，对保护和美化当地的生态环境起到了积极的作用。经现场抽查，种草合格率为100%。工程质量总体合格，符合验收条件。</w:t>
      </w:r>
    </w:p>
    <w:p>
      <w:pPr>
        <w:pStyle w:val="2"/>
      </w:pPr>
      <w:bookmarkStart w:id="132" w:name="_Toc16400"/>
      <w:bookmarkStart w:id="133" w:name="_Toc515873345"/>
      <w:r>
        <w:t>项目初期运行及水土保持效果</w:t>
      </w:r>
      <w:bookmarkEnd w:id="132"/>
      <w:bookmarkEnd w:id="133"/>
    </w:p>
    <w:p>
      <w:pPr>
        <w:pStyle w:val="3"/>
        <w:spacing w:before="120" w:after="120"/>
        <w:rPr>
          <w:b/>
          <w:bCs/>
        </w:rPr>
      </w:pPr>
      <w:bookmarkStart w:id="134" w:name="_Toc4866"/>
      <w:bookmarkStart w:id="135" w:name="_Toc515873346"/>
      <w:r>
        <w:rPr>
          <w:b/>
          <w:bCs/>
        </w:rPr>
        <w:t>初期运行情况</w:t>
      </w:r>
      <w:bookmarkEnd w:id="134"/>
      <w:bookmarkEnd w:id="135"/>
    </w:p>
    <w:p>
      <w:pPr>
        <w:spacing w:before="120"/>
        <w:ind w:firstLine="480"/>
      </w:pPr>
      <w:r>
        <w:t>本工程于2019年</w:t>
      </w:r>
      <w:r>
        <w:rPr>
          <w:rFonts w:hint="eastAsia"/>
          <w:lang w:val="en-US" w:eastAsia="zh-CN"/>
        </w:rPr>
        <w:t>4</w:t>
      </w:r>
      <w:r>
        <w:t>月</w:t>
      </w:r>
      <w:r>
        <w:rPr>
          <w:rFonts w:hint="eastAsia"/>
          <w:lang w:val="en-US" w:eastAsia="zh-CN"/>
        </w:rPr>
        <w:t>25</w:t>
      </w:r>
      <w:r>
        <w:rPr>
          <w:rFonts w:hint="eastAsia"/>
        </w:rPr>
        <w:t>日</w:t>
      </w:r>
      <w:r>
        <w:t>正式开工建设，20</w:t>
      </w:r>
      <w:r>
        <w:rPr>
          <w:rFonts w:hint="eastAsia"/>
          <w:lang w:val="en-US" w:eastAsia="zh-CN"/>
        </w:rPr>
        <w:t>19</w:t>
      </w:r>
      <w:r>
        <w:t>年</w:t>
      </w:r>
      <w:r>
        <w:rPr>
          <w:rFonts w:hint="eastAsia"/>
          <w:lang w:val="en-US" w:eastAsia="zh-CN"/>
        </w:rPr>
        <w:t>11</w:t>
      </w:r>
      <w:r>
        <w:t>月</w:t>
      </w:r>
      <w:r>
        <w:rPr>
          <w:rFonts w:hint="eastAsia"/>
        </w:rPr>
        <w:t>1日</w:t>
      </w:r>
      <w:r>
        <w:t>工程基本建设完成，水土保持工程措施基本与主体同步实施，水土保持工程措施随着主体工程完工而完工。目前各项治理措施已完成，水土流失防治效果较好。</w:t>
      </w:r>
    </w:p>
    <w:p>
      <w:pPr>
        <w:spacing w:before="120"/>
        <w:ind w:firstLine="480"/>
      </w:pPr>
      <w:r>
        <w:t>水土保持工程验收后，运行期水土流失防治责任范围内的水土保持工程措施日常管理维护工作将随主体工程交由运行单位负责。运营过程中，对各防治分区内排水设施进行定期检查，排水设施出现淤塞及时疏通，损坏的水土保持设施及时修复、加固。项目建设区绿化措施在植被的养护期内由运行单位甘孜州电力公司</w:t>
      </w:r>
      <w:r>
        <w:rPr>
          <w:rFonts w:hint="eastAsia"/>
          <w:lang w:eastAsia="zh-CN"/>
        </w:rPr>
        <w:t>雅江</w:t>
      </w:r>
      <w:r>
        <w:t>分公司负责项目建设区内植物措施的管护。</w:t>
      </w:r>
    </w:p>
    <w:p>
      <w:pPr>
        <w:spacing w:before="120"/>
        <w:ind w:firstLine="480"/>
      </w:pPr>
      <w:r>
        <w:t>从目前运行情况看，本项目</w:t>
      </w:r>
      <w:r>
        <w:rPr>
          <w:rFonts w:hint="eastAsia"/>
        </w:rPr>
        <w:t>截</w:t>
      </w:r>
      <w:r>
        <w:t>水沟、</w:t>
      </w:r>
      <w:r>
        <w:rPr>
          <w:rFonts w:hint="eastAsia"/>
        </w:rPr>
        <w:t>排水管</w:t>
      </w:r>
      <w:r>
        <w:t>等排水设施运行正常，排水设施能满足项目区内雨水排泄要求，水土保持工程管理责任明确，水土保持设施的正常运行得到了保证，取得了一定的效果。</w:t>
      </w:r>
    </w:p>
    <w:p>
      <w:pPr>
        <w:spacing w:before="120"/>
        <w:ind w:firstLine="480"/>
      </w:pPr>
      <w:r>
        <w:t>主体工程在施工过程中，制定了质量管理体系，保障了施工质量，实施了较为完善的水土保持措施，开展了水土保持工作。工程投入运行后，运行期间，管理责任已落实。</w:t>
      </w:r>
    </w:p>
    <w:p>
      <w:pPr>
        <w:spacing w:before="120"/>
        <w:ind w:firstLine="480"/>
      </w:pPr>
      <w:r>
        <w:t>本项目运行以来，建设单位按照运行管理规定，加强对防治责任范围内各项水土保持设施的管理维护，由专人负责，不定期检查、清理截排水沟道内淤积的泥沙，督促施工单位实施植株洒水、施肥、除草等管护工作，质保期满后即由运行单位负责绿化植物的管护措施，以更好发挥植物绿化美化和水土保持效果。</w:t>
      </w:r>
    </w:p>
    <w:p>
      <w:pPr>
        <w:spacing w:before="120"/>
        <w:ind w:firstLine="480"/>
      </w:pPr>
      <w:r>
        <w:t>经现场检查，本工程水土保持设施投入试运行以来，排水设施得到了有效管护，运行正常；植物措施已加强后期管护，确保了成活率，发挥了绿化美化和保持水土的双重作用，具备</w:t>
      </w:r>
      <w:r>
        <w:rPr>
          <w:rFonts w:hint="eastAsia"/>
          <w:lang w:eastAsia="zh-CN"/>
        </w:rPr>
        <w:t>完工</w:t>
      </w:r>
      <w:r>
        <w:t>验收条件。</w:t>
      </w:r>
    </w:p>
    <w:p>
      <w:pPr>
        <w:pStyle w:val="3"/>
        <w:spacing w:before="120" w:after="120"/>
        <w:rPr>
          <w:b/>
          <w:bCs/>
        </w:rPr>
      </w:pPr>
      <w:bookmarkStart w:id="136" w:name="_Toc515873347"/>
      <w:bookmarkStart w:id="137" w:name="_Toc15298"/>
      <w:r>
        <w:rPr>
          <w:b/>
          <w:bCs/>
        </w:rPr>
        <w:t>水土保持效果</w:t>
      </w:r>
      <w:bookmarkEnd w:id="136"/>
      <w:bookmarkEnd w:id="137"/>
    </w:p>
    <w:p>
      <w:pPr>
        <w:pStyle w:val="4"/>
        <w:spacing w:before="120"/>
      </w:pPr>
      <w:bookmarkStart w:id="138" w:name="_Toc515873348"/>
      <w:bookmarkStart w:id="139" w:name="_Toc26712"/>
      <w:bookmarkStart w:id="140" w:name="_Toc484280830"/>
      <w:bookmarkStart w:id="141" w:name="_Toc11151"/>
      <w:bookmarkStart w:id="142" w:name="_Toc496268092"/>
      <w:bookmarkStart w:id="143" w:name="_Toc489977048"/>
      <w:bookmarkStart w:id="144" w:name="_Toc29213"/>
      <w:r>
        <w:t>验收标准</w:t>
      </w:r>
      <w:bookmarkEnd w:id="138"/>
      <w:bookmarkEnd w:id="139"/>
      <w:bookmarkEnd w:id="140"/>
      <w:bookmarkEnd w:id="141"/>
      <w:bookmarkEnd w:id="142"/>
      <w:bookmarkEnd w:id="143"/>
      <w:bookmarkEnd w:id="144"/>
    </w:p>
    <w:p>
      <w:pPr>
        <w:spacing w:before="120"/>
        <w:ind w:firstLine="480"/>
      </w:pPr>
      <w:r>
        <w:t>根据《全国水土保持规划国家级水土流失重点预防区和重点治理区复核划分成果》的通知（办水保[2013]188</w:t>
      </w:r>
      <w:r>
        <w:rPr>
          <w:vertAlign w:val="superscript"/>
        </w:rPr>
        <w:t xml:space="preserve"> </w:t>
      </w:r>
      <w:r>
        <w:t>号，2013</w:t>
      </w:r>
      <w:r>
        <w:rPr>
          <w:vertAlign w:val="superscript"/>
        </w:rPr>
        <w:t xml:space="preserve"> </w:t>
      </w:r>
      <w:r>
        <w:t>年7月），该工程建设所涉及的四川省甘孜州</w:t>
      </w:r>
      <w:r>
        <w:rPr>
          <w:rFonts w:hint="eastAsia"/>
          <w:lang w:eastAsia="zh-CN"/>
        </w:rPr>
        <w:t>雅江</w:t>
      </w:r>
      <w:r>
        <w:rPr>
          <w:rFonts w:hint="eastAsia"/>
        </w:rPr>
        <w:t>县</w:t>
      </w:r>
      <w:r>
        <w:t>，为金沙江岷江上游及三江并流国家级水土流失重点预防区，执行建设类一级防治标准。</w:t>
      </w:r>
    </w:p>
    <w:p>
      <w:pPr>
        <w:spacing w:before="120"/>
        <w:ind w:firstLine="480"/>
      </w:pPr>
      <w:r>
        <w:t>根据水土保持方案报告书及甘孜州水利局批文（甘水审[2019]</w:t>
      </w:r>
      <w:r>
        <w:rPr>
          <w:rFonts w:hint="eastAsia"/>
          <w:lang w:val="en-US" w:eastAsia="zh-CN"/>
        </w:rPr>
        <w:t>33</w:t>
      </w:r>
      <w:r>
        <w:t>号），本工程水土流失防治目标值见表5.2-1。</w:t>
      </w:r>
    </w:p>
    <w:p>
      <w:pPr>
        <w:pStyle w:val="57"/>
        <w:spacing w:before="120"/>
        <w:rPr>
          <w:color w:val="auto"/>
        </w:rPr>
      </w:pPr>
      <w:r>
        <w:rPr>
          <w:color w:val="auto"/>
        </w:rPr>
        <w:t>水保方案确定的水土流失防治目标</w:t>
      </w:r>
    </w:p>
    <w:p>
      <w:pPr>
        <w:pStyle w:val="13"/>
      </w:pPr>
      <w:r>
        <w:t>表</w:t>
      </w:r>
      <w:r>
        <w:rPr>
          <w:vertAlign w:val="superscript"/>
        </w:rPr>
        <w:t xml:space="preserve"> </w:t>
      </w:r>
      <w:r>
        <w:fldChar w:fldCharType="begin"/>
      </w:r>
      <w:r>
        <w:instrText xml:space="preserve"> STYLEREF 2 \s </w:instrText>
      </w:r>
      <w:r>
        <w:fldChar w:fldCharType="separate"/>
      </w:r>
      <w:r>
        <w:t>5.2</w:t>
      </w:r>
      <w:r>
        <w:fldChar w:fldCharType="end"/>
      </w:r>
      <w:r>
        <w:noBreakHyphen/>
      </w:r>
      <w:r>
        <w:fldChar w:fldCharType="begin"/>
      </w:r>
      <w:r>
        <w:instrText xml:space="preserve"> SEQ 表 \* ARABIC \s 2 </w:instrText>
      </w:r>
      <w:r>
        <w:fldChar w:fldCharType="separate"/>
      </w:r>
      <w:r>
        <w:t>1</w:t>
      </w:r>
      <w:r>
        <w:fldChar w:fldCharType="end"/>
      </w:r>
    </w:p>
    <w:tbl>
      <w:tblPr>
        <w:tblStyle w:val="32"/>
        <w:tblW w:w="8328"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1" w:type="dxa"/>
          <w:bottom w:w="0" w:type="dxa"/>
          <w:right w:w="11" w:type="dxa"/>
        </w:tblCellMar>
      </w:tblPr>
      <w:tblGrid>
        <w:gridCol w:w="477"/>
        <w:gridCol w:w="2478"/>
        <w:gridCol w:w="705"/>
        <w:gridCol w:w="929"/>
        <w:gridCol w:w="703"/>
        <w:gridCol w:w="929"/>
        <w:gridCol w:w="476"/>
        <w:gridCol w:w="703"/>
        <w:gridCol w:w="92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1" w:type="dxa"/>
            <w:bottom w:w="0" w:type="dxa"/>
            <w:right w:w="11" w:type="dxa"/>
          </w:tblCellMar>
        </w:tblPrEx>
        <w:trPr>
          <w:trHeight w:val="340" w:hRule="atLeast"/>
          <w:jc w:val="center"/>
        </w:trPr>
        <w:tc>
          <w:tcPr>
            <w:tcW w:w="477" w:type="dxa"/>
            <w:vMerge w:val="restart"/>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序号</w:t>
            </w:r>
          </w:p>
        </w:tc>
        <w:tc>
          <w:tcPr>
            <w:tcW w:w="2478" w:type="dxa"/>
            <w:vMerge w:val="restart"/>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指标</w:t>
            </w:r>
          </w:p>
        </w:tc>
        <w:tc>
          <w:tcPr>
            <w:tcW w:w="1634" w:type="dxa"/>
            <w:gridSpan w:val="2"/>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规范标准</w:t>
            </w:r>
          </w:p>
        </w:tc>
        <w:tc>
          <w:tcPr>
            <w:tcW w:w="703" w:type="dxa"/>
            <w:vMerge w:val="restart"/>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降水</w:t>
            </w:r>
          </w:p>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量修正</w:t>
            </w:r>
          </w:p>
        </w:tc>
        <w:tc>
          <w:tcPr>
            <w:tcW w:w="929" w:type="dxa"/>
            <w:vMerge w:val="restart"/>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土壤侵蚀</w:t>
            </w:r>
          </w:p>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强度修正</w:t>
            </w:r>
          </w:p>
        </w:tc>
        <w:tc>
          <w:tcPr>
            <w:tcW w:w="476" w:type="dxa"/>
            <w:vMerge w:val="restart"/>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地形</w:t>
            </w:r>
          </w:p>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修正</w:t>
            </w:r>
          </w:p>
        </w:tc>
        <w:tc>
          <w:tcPr>
            <w:tcW w:w="1631" w:type="dxa"/>
            <w:gridSpan w:val="2"/>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采用标准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1" w:type="dxa"/>
            <w:bottom w:w="0" w:type="dxa"/>
            <w:right w:w="11" w:type="dxa"/>
          </w:tblCellMar>
        </w:tblPrEx>
        <w:trPr>
          <w:trHeight w:val="340" w:hRule="atLeast"/>
          <w:jc w:val="center"/>
        </w:trPr>
        <w:tc>
          <w:tcPr>
            <w:tcW w:w="477" w:type="dxa"/>
            <w:vMerge w:val="continue"/>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c>
          <w:tcPr>
            <w:tcW w:w="2478" w:type="dxa"/>
            <w:vMerge w:val="continue"/>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c>
          <w:tcPr>
            <w:tcW w:w="705"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施工期</w:t>
            </w:r>
          </w:p>
        </w:tc>
        <w:tc>
          <w:tcPr>
            <w:tcW w:w="929"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设计水平年</w:t>
            </w:r>
          </w:p>
        </w:tc>
        <w:tc>
          <w:tcPr>
            <w:tcW w:w="703" w:type="dxa"/>
            <w:vMerge w:val="continue"/>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c>
          <w:tcPr>
            <w:tcW w:w="929" w:type="dxa"/>
            <w:vMerge w:val="continue"/>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c>
          <w:tcPr>
            <w:tcW w:w="476" w:type="dxa"/>
            <w:vMerge w:val="continue"/>
            <w:vAlign w:val="center"/>
          </w:tcPr>
          <w:p>
            <w:pPr>
              <w:pStyle w:val="52"/>
              <w:keepNext w:val="0"/>
              <w:keepLines w:val="0"/>
              <w:widowControl/>
              <w:suppressLineNumbers w:val="0"/>
              <w:spacing w:before="0" w:beforeAutospacing="0" w:after="0" w:afterAutospacing="0"/>
              <w:ind w:left="0" w:right="0"/>
              <w:rPr>
                <w:rFonts w:cs="Times New Roman"/>
                <w:color w:val="auto"/>
                <w:sz w:val="20"/>
              </w:rPr>
            </w:pPr>
          </w:p>
        </w:tc>
        <w:tc>
          <w:tcPr>
            <w:tcW w:w="703"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施工期</w:t>
            </w:r>
          </w:p>
        </w:tc>
        <w:tc>
          <w:tcPr>
            <w:tcW w:w="928"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设计水平年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1" w:type="dxa"/>
            <w:bottom w:w="0" w:type="dxa"/>
            <w:right w:w="11" w:type="dxa"/>
          </w:tblCellMar>
        </w:tblPrEx>
        <w:trPr>
          <w:trHeight w:val="340" w:hRule="atLeast"/>
          <w:jc w:val="center"/>
        </w:trPr>
        <w:tc>
          <w:tcPr>
            <w:tcW w:w="477"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1</w:t>
            </w:r>
          </w:p>
        </w:tc>
        <w:tc>
          <w:tcPr>
            <w:tcW w:w="2478"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lang w:val="en-US" w:eastAsia="zh-CN"/>
              </w:rPr>
              <w:t>扰动土地整治率</w:t>
            </w:r>
            <w:r>
              <w:rPr>
                <w:rFonts w:cs="Times New Roman"/>
                <w:color w:val="auto"/>
                <w:sz w:val="20"/>
              </w:rPr>
              <w:t>（%）</w:t>
            </w:r>
          </w:p>
        </w:tc>
        <w:tc>
          <w:tcPr>
            <w:tcW w:w="705"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w:t>
            </w:r>
          </w:p>
        </w:tc>
        <w:tc>
          <w:tcPr>
            <w:tcW w:w="929"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95</w:t>
            </w:r>
          </w:p>
        </w:tc>
        <w:tc>
          <w:tcPr>
            <w:tcW w:w="703"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w:t>
            </w:r>
          </w:p>
        </w:tc>
        <w:tc>
          <w:tcPr>
            <w:tcW w:w="929"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w:t>
            </w:r>
          </w:p>
        </w:tc>
        <w:tc>
          <w:tcPr>
            <w:tcW w:w="476"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w:t>
            </w:r>
          </w:p>
        </w:tc>
        <w:tc>
          <w:tcPr>
            <w:tcW w:w="703"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w:t>
            </w:r>
          </w:p>
        </w:tc>
        <w:tc>
          <w:tcPr>
            <w:tcW w:w="928"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1" w:type="dxa"/>
            <w:bottom w:w="0" w:type="dxa"/>
            <w:right w:w="11" w:type="dxa"/>
          </w:tblCellMar>
        </w:tblPrEx>
        <w:trPr>
          <w:trHeight w:val="340" w:hRule="atLeast"/>
          <w:jc w:val="center"/>
        </w:trPr>
        <w:tc>
          <w:tcPr>
            <w:tcW w:w="477"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2</w:t>
            </w:r>
          </w:p>
        </w:tc>
        <w:tc>
          <w:tcPr>
            <w:tcW w:w="2478"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水土流失总治理度（%）</w:t>
            </w:r>
          </w:p>
        </w:tc>
        <w:tc>
          <w:tcPr>
            <w:tcW w:w="705"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w:t>
            </w:r>
          </w:p>
        </w:tc>
        <w:tc>
          <w:tcPr>
            <w:tcW w:w="929"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95</w:t>
            </w:r>
          </w:p>
        </w:tc>
        <w:tc>
          <w:tcPr>
            <w:tcW w:w="703"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+1</w:t>
            </w:r>
          </w:p>
        </w:tc>
        <w:tc>
          <w:tcPr>
            <w:tcW w:w="929"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rPr>
              <w:t>*</w:t>
            </w:r>
          </w:p>
        </w:tc>
        <w:tc>
          <w:tcPr>
            <w:tcW w:w="476"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w:t>
            </w:r>
          </w:p>
        </w:tc>
        <w:tc>
          <w:tcPr>
            <w:tcW w:w="703"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w:t>
            </w:r>
          </w:p>
        </w:tc>
        <w:tc>
          <w:tcPr>
            <w:tcW w:w="928"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1" w:type="dxa"/>
            <w:bottom w:w="0" w:type="dxa"/>
            <w:right w:w="11" w:type="dxa"/>
          </w:tblCellMar>
        </w:tblPrEx>
        <w:trPr>
          <w:trHeight w:val="340" w:hRule="atLeast"/>
          <w:jc w:val="center"/>
        </w:trPr>
        <w:tc>
          <w:tcPr>
            <w:tcW w:w="477"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3</w:t>
            </w:r>
          </w:p>
        </w:tc>
        <w:tc>
          <w:tcPr>
            <w:tcW w:w="2478"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土壤流失控制比</w:t>
            </w:r>
          </w:p>
        </w:tc>
        <w:tc>
          <w:tcPr>
            <w:tcW w:w="705"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0.7</w:t>
            </w:r>
          </w:p>
        </w:tc>
        <w:tc>
          <w:tcPr>
            <w:tcW w:w="929"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0.8</w:t>
            </w:r>
          </w:p>
        </w:tc>
        <w:tc>
          <w:tcPr>
            <w:tcW w:w="703"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w:t>
            </w:r>
          </w:p>
        </w:tc>
        <w:tc>
          <w:tcPr>
            <w:tcW w:w="929"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lang w:val="en-US" w:eastAsia="zh-CN"/>
              </w:rPr>
              <w:t>+0.2</w:t>
            </w:r>
          </w:p>
        </w:tc>
        <w:tc>
          <w:tcPr>
            <w:tcW w:w="476"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w:t>
            </w:r>
          </w:p>
        </w:tc>
        <w:tc>
          <w:tcPr>
            <w:tcW w:w="703"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0.7</w:t>
            </w:r>
          </w:p>
        </w:tc>
        <w:tc>
          <w:tcPr>
            <w:tcW w:w="928"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1" w:type="dxa"/>
            <w:bottom w:w="0" w:type="dxa"/>
            <w:right w:w="11" w:type="dxa"/>
          </w:tblCellMar>
        </w:tblPrEx>
        <w:trPr>
          <w:trHeight w:val="340" w:hRule="atLeast"/>
          <w:jc w:val="center"/>
        </w:trPr>
        <w:tc>
          <w:tcPr>
            <w:tcW w:w="477"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4</w:t>
            </w:r>
          </w:p>
        </w:tc>
        <w:tc>
          <w:tcPr>
            <w:tcW w:w="2478"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lang w:val="en-US" w:eastAsia="zh-CN"/>
              </w:rPr>
              <w:t>拦渣率</w:t>
            </w:r>
            <w:r>
              <w:rPr>
                <w:rFonts w:cs="Times New Roman"/>
                <w:color w:val="auto"/>
                <w:sz w:val="20"/>
              </w:rPr>
              <w:t>（%）</w:t>
            </w:r>
          </w:p>
        </w:tc>
        <w:tc>
          <w:tcPr>
            <w:tcW w:w="705" w:type="dxa"/>
            <w:vAlign w:val="center"/>
          </w:tcPr>
          <w:p>
            <w:pPr>
              <w:pStyle w:val="52"/>
              <w:keepNext w:val="0"/>
              <w:keepLines w:val="0"/>
              <w:widowControl/>
              <w:suppressLineNumbers w:val="0"/>
              <w:spacing w:before="0" w:beforeAutospacing="0" w:after="0" w:afterAutospacing="0"/>
              <w:ind w:left="0" w:right="0"/>
              <w:rPr>
                <w:rFonts w:hint="eastAsia" w:eastAsia="仿宋_GB2312" w:cs="Times New Roman"/>
                <w:color w:val="auto"/>
                <w:sz w:val="20"/>
                <w:lang w:val="en-US" w:eastAsia="zh-CN"/>
              </w:rPr>
            </w:pPr>
            <w:r>
              <w:rPr>
                <w:rFonts w:hint="eastAsia" w:cs="Times New Roman"/>
                <w:color w:val="auto"/>
                <w:sz w:val="20"/>
              </w:rPr>
              <w:t>9</w:t>
            </w:r>
            <w:r>
              <w:rPr>
                <w:rFonts w:hint="eastAsia" w:cs="Times New Roman"/>
                <w:color w:val="auto"/>
                <w:sz w:val="20"/>
                <w:lang w:val="en-US" w:eastAsia="zh-CN"/>
              </w:rPr>
              <w:t>5</w:t>
            </w:r>
          </w:p>
        </w:tc>
        <w:tc>
          <w:tcPr>
            <w:tcW w:w="929" w:type="dxa"/>
            <w:vAlign w:val="center"/>
          </w:tcPr>
          <w:p>
            <w:pPr>
              <w:pStyle w:val="52"/>
              <w:keepNext w:val="0"/>
              <w:keepLines w:val="0"/>
              <w:widowControl/>
              <w:suppressLineNumbers w:val="0"/>
              <w:spacing w:before="0" w:beforeAutospacing="0" w:after="0" w:afterAutospacing="0"/>
              <w:ind w:left="0" w:right="0"/>
              <w:rPr>
                <w:rFonts w:hint="eastAsia" w:eastAsia="仿宋_GB2312" w:cs="Times New Roman"/>
                <w:color w:val="auto"/>
                <w:sz w:val="20"/>
                <w:lang w:val="en-US" w:eastAsia="zh-CN"/>
              </w:rPr>
            </w:pPr>
            <w:r>
              <w:rPr>
                <w:rFonts w:hint="eastAsia" w:cs="Times New Roman"/>
                <w:color w:val="auto"/>
                <w:sz w:val="20"/>
              </w:rPr>
              <w:t>9</w:t>
            </w:r>
            <w:r>
              <w:rPr>
                <w:rFonts w:hint="eastAsia" w:cs="Times New Roman"/>
                <w:color w:val="auto"/>
                <w:sz w:val="20"/>
                <w:lang w:val="en-US" w:eastAsia="zh-CN"/>
              </w:rPr>
              <w:t>5</w:t>
            </w:r>
          </w:p>
        </w:tc>
        <w:tc>
          <w:tcPr>
            <w:tcW w:w="703"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w:t>
            </w:r>
          </w:p>
        </w:tc>
        <w:tc>
          <w:tcPr>
            <w:tcW w:w="929"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w:t>
            </w:r>
          </w:p>
        </w:tc>
        <w:tc>
          <w:tcPr>
            <w:tcW w:w="476"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rPr>
              <w:t>*</w:t>
            </w:r>
          </w:p>
        </w:tc>
        <w:tc>
          <w:tcPr>
            <w:tcW w:w="703"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95</w:t>
            </w:r>
          </w:p>
        </w:tc>
        <w:tc>
          <w:tcPr>
            <w:tcW w:w="928"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1" w:type="dxa"/>
            <w:bottom w:w="0" w:type="dxa"/>
            <w:right w:w="11" w:type="dxa"/>
          </w:tblCellMar>
        </w:tblPrEx>
        <w:trPr>
          <w:trHeight w:val="340" w:hRule="atLeast"/>
          <w:jc w:val="center"/>
        </w:trPr>
        <w:tc>
          <w:tcPr>
            <w:tcW w:w="477"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5</w:t>
            </w:r>
          </w:p>
        </w:tc>
        <w:tc>
          <w:tcPr>
            <w:tcW w:w="2478"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林草植被恢复率（%）</w:t>
            </w:r>
          </w:p>
        </w:tc>
        <w:tc>
          <w:tcPr>
            <w:tcW w:w="705"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w:t>
            </w:r>
          </w:p>
        </w:tc>
        <w:tc>
          <w:tcPr>
            <w:tcW w:w="929" w:type="dxa"/>
            <w:vAlign w:val="center"/>
          </w:tcPr>
          <w:p>
            <w:pPr>
              <w:pStyle w:val="52"/>
              <w:keepNext w:val="0"/>
              <w:keepLines w:val="0"/>
              <w:widowControl/>
              <w:suppressLineNumbers w:val="0"/>
              <w:spacing w:before="0" w:beforeAutospacing="0" w:after="0" w:afterAutospacing="0"/>
              <w:ind w:left="0" w:right="0"/>
              <w:rPr>
                <w:rFonts w:hint="eastAsia" w:eastAsia="仿宋_GB2312" w:cs="Times New Roman"/>
                <w:color w:val="auto"/>
                <w:sz w:val="20"/>
                <w:lang w:val="en-US" w:eastAsia="zh-CN"/>
              </w:rPr>
            </w:pPr>
            <w:r>
              <w:rPr>
                <w:rFonts w:hint="eastAsia" w:cs="Times New Roman"/>
                <w:color w:val="auto"/>
                <w:sz w:val="20"/>
              </w:rPr>
              <w:t>9</w:t>
            </w:r>
            <w:r>
              <w:rPr>
                <w:rFonts w:hint="eastAsia" w:cs="Times New Roman"/>
                <w:color w:val="auto"/>
                <w:sz w:val="20"/>
                <w:lang w:val="en-US" w:eastAsia="zh-CN"/>
              </w:rPr>
              <w:t>7</w:t>
            </w:r>
          </w:p>
        </w:tc>
        <w:tc>
          <w:tcPr>
            <w:tcW w:w="703"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lang w:val="en-US" w:eastAsia="zh-CN"/>
              </w:rPr>
              <w:t>+1</w:t>
            </w:r>
          </w:p>
        </w:tc>
        <w:tc>
          <w:tcPr>
            <w:tcW w:w="929"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w:t>
            </w:r>
          </w:p>
        </w:tc>
        <w:tc>
          <w:tcPr>
            <w:tcW w:w="476"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w:t>
            </w:r>
          </w:p>
        </w:tc>
        <w:tc>
          <w:tcPr>
            <w:tcW w:w="703"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w:t>
            </w:r>
          </w:p>
        </w:tc>
        <w:tc>
          <w:tcPr>
            <w:tcW w:w="928"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98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1" w:type="dxa"/>
            <w:bottom w:w="0" w:type="dxa"/>
            <w:right w:w="11" w:type="dxa"/>
          </w:tblCellMar>
        </w:tblPrEx>
        <w:trPr>
          <w:trHeight w:val="340" w:hRule="atLeast"/>
          <w:jc w:val="center"/>
        </w:trPr>
        <w:tc>
          <w:tcPr>
            <w:tcW w:w="477"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6</w:t>
            </w:r>
          </w:p>
        </w:tc>
        <w:tc>
          <w:tcPr>
            <w:tcW w:w="2478"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cs="Times New Roman"/>
                <w:color w:val="auto"/>
                <w:sz w:val="20"/>
              </w:rPr>
              <w:t>林草覆盖率（%）</w:t>
            </w:r>
          </w:p>
        </w:tc>
        <w:tc>
          <w:tcPr>
            <w:tcW w:w="705"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w:t>
            </w:r>
          </w:p>
        </w:tc>
        <w:tc>
          <w:tcPr>
            <w:tcW w:w="929"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25</w:t>
            </w:r>
          </w:p>
        </w:tc>
        <w:tc>
          <w:tcPr>
            <w:tcW w:w="703"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lang w:val="en-US" w:eastAsia="zh-CN"/>
              </w:rPr>
              <w:t>+1</w:t>
            </w:r>
          </w:p>
        </w:tc>
        <w:tc>
          <w:tcPr>
            <w:tcW w:w="929"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w:t>
            </w:r>
          </w:p>
        </w:tc>
        <w:tc>
          <w:tcPr>
            <w:tcW w:w="476"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w:t>
            </w:r>
          </w:p>
        </w:tc>
        <w:tc>
          <w:tcPr>
            <w:tcW w:w="703" w:type="dxa"/>
            <w:vAlign w:val="center"/>
          </w:tcPr>
          <w:p>
            <w:pPr>
              <w:pStyle w:val="52"/>
              <w:keepNext w:val="0"/>
              <w:keepLines w:val="0"/>
              <w:widowControl/>
              <w:suppressLineNumbers w:val="0"/>
              <w:spacing w:before="0" w:beforeAutospacing="0" w:after="0" w:afterAutospacing="0"/>
              <w:ind w:left="0" w:right="0"/>
              <w:rPr>
                <w:rFonts w:cs="Times New Roman"/>
                <w:color w:val="auto"/>
                <w:sz w:val="20"/>
              </w:rPr>
            </w:pPr>
            <w:r>
              <w:rPr>
                <w:rFonts w:hint="eastAsia" w:cs="Times New Roman"/>
                <w:color w:val="auto"/>
                <w:sz w:val="20"/>
              </w:rPr>
              <w:t>*</w:t>
            </w:r>
          </w:p>
        </w:tc>
        <w:tc>
          <w:tcPr>
            <w:tcW w:w="928" w:type="dxa"/>
            <w:vAlign w:val="center"/>
          </w:tcPr>
          <w:p>
            <w:pPr>
              <w:pStyle w:val="52"/>
              <w:keepNext w:val="0"/>
              <w:keepLines w:val="0"/>
              <w:widowControl/>
              <w:suppressLineNumbers w:val="0"/>
              <w:spacing w:before="0" w:beforeAutospacing="0" w:after="0" w:afterAutospacing="0"/>
              <w:ind w:left="0" w:right="0"/>
              <w:rPr>
                <w:rFonts w:hint="default" w:eastAsia="仿宋_GB2312" w:cs="Times New Roman"/>
                <w:color w:val="auto"/>
                <w:sz w:val="20"/>
                <w:lang w:val="en-US" w:eastAsia="zh-CN"/>
              </w:rPr>
            </w:pPr>
            <w:r>
              <w:rPr>
                <w:rFonts w:hint="eastAsia" w:cs="Times New Roman"/>
                <w:color w:val="auto"/>
                <w:sz w:val="20"/>
                <w:lang w:val="en-US" w:eastAsia="zh-CN"/>
              </w:rPr>
              <w:t>26</w:t>
            </w:r>
          </w:p>
        </w:tc>
      </w:tr>
    </w:tbl>
    <w:p>
      <w:pPr>
        <w:spacing w:before="120"/>
        <w:ind w:firstLine="480"/>
      </w:pPr>
      <w:r>
        <w:t>工程各区域在施工过程中，采取了适宜的水土保持措施，水土保持工程的总体布局合理，效果明显，达到水土保持方案设计要求。水土保持措施主要采用排水沟、表土剥离、绿化覆土、</w:t>
      </w:r>
      <w:r>
        <w:rPr>
          <w:rFonts w:hint="eastAsia"/>
        </w:rPr>
        <w:t>临时覆盖、</w:t>
      </w:r>
      <w:r>
        <w:t>撒草等，有效地控制了水土流失，而且也保证了工程的安全运行，因此，主体工程和水土保持方案中所设计的水土保持措施是可行的。</w:t>
      </w:r>
    </w:p>
    <w:p>
      <w:pPr>
        <w:pStyle w:val="4"/>
        <w:spacing w:before="120"/>
      </w:pPr>
      <w:bookmarkStart w:id="145" w:name="_Toc515873349"/>
      <w:bookmarkStart w:id="146" w:name="_Toc496268093"/>
      <w:bookmarkStart w:id="147" w:name="_Toc26133"/>
      <w:bookmarkStart w:id="148" w:name="_Toc489977049"/>
      <w:bookmarkStart w:id="149" w:name="_Toc14793"/>
      <w:bookmarkStart w:id="150" w:name="_Toc32255"/>
      <w:bookmarkStart w:id="151" w:name="_Toc484280831"/>
      <w:r>
        <w:t>水土流失治理</w:t>
      </w:r>
      <w:bookmarkEnd w:id="145"/>
      <w:bookmarkEnd w:id="146"/>
      <w:bookmarkEnd w:id="147"/>
      <w:bookmarkEnd w:id="148"/>
      <w:bookmarkEnd w:id="149"/>
      <w:bookmarkEnd w:id="150"/>
      <w:bookmarkEnd w:id="151"/>
    </w:p>
    <w:p>
      <w:pPr>
        <w:keepNext w:val="0"/>
        <w:keepLines w:val="0"/>
        <w:widowControl/>
        <w:suppressLineNumbers w:val="0"/>
        <w:adjustRightInd w:val="0"/>
        <w:snapToGrid w:val="0"/>
        <w:spacing w:before="120" w:beforeLines="50" w:beforeAutospacing="0" w:after="0" w:afterAutospacing="0" w:line="360" w:lineRule="auto"/>
        <w:ind w:left="0" w:right="0" w:firstLine="480" w:firstLineChars="200"/>
        <w:jc w:val="both"/>
      </w:pPr>
      <w:r>
        <w:t>（1）</w:t>
      </w:r>
      <w:r>
        <w:rPr>
          <w:rFonts w:hint="eastAsia" w:ascii="Times New Roman" w:hAnsi="Times New Roman" w:eastAsia="仿宋_GB2312" w:cs="仿宋_GB2312"/>
          <w:snapToGrid/>
          <w:kern w:val="2"/>
          <w:sz w:val="24"/>
          <w:szCs w:val="24"/>
          <w:lang w:val="en-US" w:eastAsia="zh-CN" w:bidi="ar"/>
        </w:rPr>
        <w:t>扰动土地整治率</w:t>
      </w:r>
    </w:p>
    <w:p>
      <w:pPr>
        <w:keepNext w:val="0"/>
        <w:keepLines w:val="0"/>
        <w:widowControl/>
        <w:suppressLineNumbers w:val="0"/>
        <w:jc w:val="left"/>
      </w:pPr>
      <w:r>
        <w:rPr>
          <w:rFonts w:hint="eastAsia" w:ascii="Times New Roman" w:hAnsi="Times New Roman" w:eastAsia="仿宋_GB2312" w:cs="Times New Roman"/>
          <w:snapToGrid/>
          <w:kern w:val="2"/>
          <w:sz w:val="24"/>
          <w:szCs w:val="24"/>
          <w:lang w:val="en-US" w:eastAsia="zh-CN" w:bidi="ar"/>
        </w:rPr>
        <w:t>扰动土地整治率是指项目建设区内扰动土地的整治面积占扰动土地总面积的百分比。通过调查项目区相关资料，甘孜</w:t>
      </w:r>
      <w:r>
        <w:rPr>
          <w:rFonts w:hint="eastAsia" w:cs="Times New Roman"/>
          <w:snapToGrid/>
          <w:kern w:val="2"/>
          <w:sz w:val="24"/>
          <w:szCs w:val="24"/>
          <w:lang w:val="en-US" w:eastAsia="zh-CN" w:bidi="ar"/>
        </w:rPr>
        <w:t>雅江柯拉</w:t>
      </w:r>
      <w:r>
        <w:rPr>
          <w:rFonts w:hint="default" w:ascii="Times New Roman" w:hAnsi="Times New Roman" w:eastAsia="仿宋_GB2312" w:cs="Times New Roman"/>
          <w:snapToGrid/>
          <w:kern w:val="2"/>
          <w:sz w:val="24"/>
          <w:szCs w:val="24"/>
          <w:lang w:val="en-US" w:eastAsia="zh-CN" w:bidi="ar"/>
        </w:rPr>
        <w:t>35</w:t>
      </w:r>
      <w:r>
        <w:rPr>
          <w:rFonts w:hint="eastAsia" w:ascii="Times New Roman" w:hAnsi="Times New Roman" w:eastAsia="仿宋_GB2312" w:cs="Times New Roman"/>
          <w:snapToGrid/>
          <w:kern w:val="2"/>
          <w:sz w:val="24"/>
          <w:szCs w:val="24"/>
          <w:lang w:val="en-US" w:eastAsia="zh-CN" w:bidi="ar"/>
        </w:rPr>
        <w:t>千伏输变电工程实际扰动土地总面积为</w:t>
      </w:r>
      <w:r>
        <w:rPr>
          <w:rFonts w:hint="eastAsia" w:cs="Times New Roman"/>
          <w:snapToGrid/>
          <w:kern w:val="2"/>
          <w:sz w:val="24"/>
          <w:szCs w:val="24"/>
          <w:lang w:val="en-US" w:eastAsia="zh-CN" w:bidi="ar"/>
        </w:rPr>
        <w:t>1.81</w:t>
      </w:r>
      <w:r>
        <w:rPr>
          <w:rFonts w:hint="default" w:ascii="Times New Roman" w:hAnsi="Times New Roman" w:eastAsia="仿宋_GB2312" w:cs="Times New Roman"/>
          <w:snapToGrid/>
          <w:kern w:val="2"/>
          <w:sz w:val="24"/>
          <w:szCs w:val="24"/>
          <w:lang w:val="en-US" w:eastAsia="zh-CN" w:bidi="ar"/>
        </w:rPr>
        <w:t>hm</w:t>
      </w:r>
      <w:r>
        <w:rPr>
          <w:rFonts w:hint="default" w:ascii="Times New Roman" w:hAnsi="Times New Roman" w:eastAsia="仿宋_GB2312" w:cs="Times New Roman"/>
          <w:snapToGrid/>
          <w:kern w:val="2"/>
          <w:sz w:val="24"/>
          <w:szCs w:val="24"/>
          <w:vertAlign w:val="superscript"/>
          <w:lang w:val="en-US" w:eastAsia="zh-CN" w:bidi="ar"/>
        </w:rPr>
        <w:t>2</w:t>
      </w:r>
      <w:r>
        <w:rPr>
          <w:rFonts w:hint="eastAsia" w:ascii="Times New Roman" w:hAnsi="Times New Roman" w:eastAsia="仿宋_GB2312" w:cs="Times New Roman"/>
          <w:snapToGrid/>
          <w:kern w:val="2"/>
          <w:sz w:val="24"/>
          <w:szCs w:val="24"/>
          <w:lang w:val="en-US" w:eastAsia="zh-CN" w:bidi="ar"/>
        </w:rPr>
        <w:t>，各类措施治理面积加上建筑物占压面积</w:t>
      </w:r>
      <w:r>
        <w:rPr>
          <w:rFonts w:hint="eastAsia" w:cs="Times New Roman"/>
          <w:snapToGrid/>
          <w:kern w:val="2"/>
          <w:sz w:val="24"/>
          <w:szCs w:val="24"/>
          <w:lang w:val="en-US" w:eastAsia="zh-CN" w:bidi="ar"/>
        </w:rPr>
        <w:t>1.76</w:t>
      </w:r>
      <w:r>
        <w:rPr>
          <w:rFonts w:hint="default" w:ascii="Times New Roman" w:hAnsi="Times New Roman" w:eastAsia="仿宋_GB2312" w:cs="Times New Roman"/>
          <w:snapToGrid/>
          <w:kern w:val="2"/>
          <w:sz w:val="24"/>
          <w:szCs w:val="24"/>
          <w:lang w:val="en-US" w:eastAsia="zh-CN" w:bidi="ar"/>
        </w:rPr>
        <w:t>hm</w:t>
      </w:r>
      <w:r>
        <w:rPr>
          <w:rFonts w:hint="default" w:ascii="Times New Roman" w:hAnsi="Times New Roman" w:eastAsia="仿宋_GB2312" w:cs="Times New Roman"/>
          <w:snapToGrid/>
          <w:kern w:val="2"/>
          <w:sz w:val="24"/>
          <w:szCs w:val="24"/>
          <w:vertAlign w:val="superscript"/>
          <w:lang w:val="en-US" w:eastAsia="zh-CN" w:bidi="ar"/>
        </w:rPr>
        <w:t>2</w:t>
      </w:r>
      <w:r>
        <w:rPr>
          <w:rFonts w:hint="eastAsia" w:ascii="Times New Roman" w:hAnsi="Times New Roman" w:eastAsia="仿宋_GB2312" w:cs="Times New Roman"/>
          <w:snapToGrid/>
          <w:kern w:val="2"/>
          <w:sz w:val="24"/>
          <w:szCs w:val="24"/>
          <w:lang w:val="en-US" w:eastAsia="zh-CN" w:bidi="ar"/>
        </w:rPr>
        <w:t>，扰动土地整治率为</w:t>
      </w:r>
      <w:r>
        <w:rPr>
          <w:rFonts w:hint="default" w:ascii="Times New Roman" w:hAnsi="Times New Roman" w:eastAsia="仿宋_GB2312" w:cs="Times New Roman"/>
          <w:snapToGrid/>
          <w:kern w:val="2"/>
          <w:sz w:val="24"/>
          <w:szCs w:val="24"/>
          <w:lang w:val="en-US" w:eastAsia="zh-CN" w:bidi="ar"/>
        </w:rPr>
        <w:t>9</w:t>
      </w:r>
      <w:r>
        <w:rPr>
          <w:rFonts w:hint="eastAsia" w:cs="Times New Roman"/>
          <w:snapToGrid/>
          <w:kern w:val="2"/>
          <w:sz w:val="24"/>
          <w:szCs w:val="24"/>
          <w:lang w:val="en-US" w:eastAsia="zh-CN" w:bidi="ar"/>
        </w:rPr>
        <w:t>7.24</w:t>
      </w:r>
      <w:r>
        <w:rPr>
          <w:rFonts w:hint="default" w:ascii="Times New Roman" w:hAnsi="Times New Roman" w:eastAsia="仿宋_GB2312" w:cs="Times New Roman"/>
          <w:snapToGrid/>
          <w:kern w:val="2"/>
          <w:sz w:val="24"/>
          <w:szCs w:val="24"/>
          <w:lang w:val="en-US" w:eastAsia="zh-CN" w:bidi="ar"/>
        </w:rPr>
        <w:t>%</w:t>
      </w:r>
      <w:r>
        <w:rPr>
          <w:rFonts w:hint="eastAsia" w:ascii="Times New Roman" w:hAnsi="Times New Roman" w:eastAsia="仿宋_GB2312" w:cs="Times New Roman"/>
          <w:snapToGrid/>
          <w:kern w:val="2"/>
          <w:sz w:val="24"/>
          <w:szCs w:val="24"/>
          <w:lang w:val="en-US" w:eastAsia="zh-CN" w:bidi="ar"/>
        </w:rPr>
        <w:t>，达到本工程防治目标</w:t>
      </w:r>
      <w:r>
        <w:rPr>
          <w:rFonts w:hint="default" w:ascii="Times New Roman" w:hAnsi="Times New Roman" w:eastAsia="仿宋_GB2312" w:cs="Times New Roman"/>
          <w:snapToGrid/>
          <w:kern w:val="2"/>
          <w:sz w:val="24"/>
          <w:szCs w:val="24"/>
          <w:lang w:val="en-US" w:eastAsia="zh-CN" w:bidi="ar"/>
        </w:rPr>
        <w:t>95%</w:t>
      </w:r>
      <w:r>
        <w:rPr>
          <w:rFonts w:hint="eastAsia" w:ascii="Times New Roman" w:hAnsi="Times New Roman" w:eastAsia="仿宋_GB2312" w:cs="Times New Roman"/>
          <w:snapToGrid/>
          <w:kern w:val="2"/>
          <w:sz w:val="24"/>
          <w:szCs w:val="24"/>
          <w:lang w:val="en-US" w:eastAsia="zh-CN" w:bidi="ar"/>
        </w:rPr>
        <w:t>的要求</w:t>
      </w:r>
      <w:r>
        <w:rPr>
          <w:rFonts w:hint="eastAsia"/>
        </w:rPr>
        <w:t>。</w:t>
      </w:r>
      <w:r>
        <w:t>各分区的扰动土地整治率见表5.2-2。</w:t>
      </w:r>
    </w:p>
    <w:p>
      <w:pPr>
        <w:pStyle w:val="57"/>
        <w:spacing w:before="120"/>
        <w:rPr>
          <w:color w:val="auto"/>
        </w:rPr>
      </w:pPr>
      <w:r>
        <w:rPr>
          <w:rFonts w:hint="eastAsia"/>
          <w:color w:val="auto"/>
          <w:lang w:val="en-US" w:eastAsia="zh-CN"/>
        </w:rPr>
        <w:t xml:space="preserve">  </w:t>
      </w:r>
      <w:r>
        <w:rPr>
          <w:color w:val="auto"/>
        </w:rPr>
        <w:t>各防治分区</w:t>
      </w:r>
      <w:r>
        <w:rPr>
          <w:rFonts w:hint="eastAsia"/>
          <w:color w:val="auto"/>
          <w:lang w:val="en-US" w:eastAsia="zh-CN"/>
        </w:rPr>
        <w:t>扰动土地整治率</w:t>
      </w:r>
      <w:r>
        <w:rPr>
          <w:color w:val="auto"/>
        </w:rPr>
        <w:t>一览表</w:t>
      </w:r>
    </w:p>
    <w:p>
      <w:pPr>
        <w:pStyle w:val="13"/>
      </w:pPr>
      <w:r>
        <w:t xml:space="preserve">表 </w:t>
      </w:r>
      <w:r>
        <w:fldChar w:fldCharType="begin"/>
      </w:r>
      <w:r>
        <w:instrText xml:space="preserve"> STYLEREF 2 \s </w:instrText>
      </w:r>
      <w:r>
        <w:fldChar w:fldCharType="separate"/>
      </w:r>
      <w:r>
        <w:t>5.2</w:t>
      </w:r>
      <w:r>
        <w:fldChar w:fldCharType="end"/>
      </w:r>
      <w:r>
        <w:noBreakHyphen/>
      </w:r>
      <w:r>
        <w:fldChar w:fldCharType="begin"/>
      </w:r>
      <w:r>
        <w:instrText xml:space="preserve"> SEQ 表 \* ARABIC \s 2 </w:instrText>
      </w:r>
      <w:r>
        <w:fldChar w:fldCharType="separate"/>
      </w:r>
      <w:r>
        <w:t>2</w:t>
      </w:r>
      <w:r>
        <w:fldChar w:fldCharType="end"/>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2022"/>
        <w:gridCol w:w="603"/>
        <w:gridCol w:w="713"/>
        <w:gridCol w:w="979"/>
        <w:gridCol w:w="931"/>
        <w:gridCol w:w="1149"/>
        <w:gridCol w:w="713"/>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022"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color w:val="auto"/>
              </w:rPr>
              <w:t>分区</w:t>
            </w:r>
          </w:p>
        </w:tc>
        <w:tc>
          <w:tcPr>
            <w:tcW w:w="603" w:type="dxa"/>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color w:val="auto"/>
              </w:rPr>
              <w:t>总面积</w:t>
            </w:r>
          </w:p>
        </w:tc>
        <w:tc>
          <w:tcPr>
            <w:tcW w:w="713" w:type="dxa"/>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rFonts w:hint="eastAsia"/>
                <w:color w:val="auto"/>
              </w:rPr>
              <w:t>水土流失面积</w:t>
            </w:r>
          </w:p>
        </w:tc>
        <w:tc>
          <w:tcPr>
            <w:tcW w:w="979" w:type="dxa"/>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color w:val="auto"/>
              </w:rPr>
              <w:t>工程措施面积</w:t>
            </w:r>
          </w:p>
        </w:tc>
        <w:tc>
          <w:tcPr>
            <w:tcW w:w="931" w:type="dxa"/>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color w:val="auto"/>
              </w:rPr>
              <w:t>植被覆盖面积</w:t>
            </w:r>
          </w:p>
        </w:tc>
        <w:tc>
          <w:tcPr>
            <w:tcW w:w="1149" w:type="dxa"/>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color w:val="auto"/>
              </w:rPr>
              <w:t>硬化及建筑物面积</w:t>
            </w:r>
          </w:p>
        </w:tc>
        <w:tc>
          <w:tcPr>
            <w:tcW w:w="713"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lang w:val="en-US" w:eastAsia="zh-CN"/>
              </w:rPr>
            </w:pPr>
            <w:r>
              <w:rPr>
                <w:rFonts w:hint="eastAsia"/>
                <w:color w:val="auto"/>
                <w:lang w:val="en-US" w:eastAsia="zh-CN"/>
              </w:rPr>
              <w:t>整治</w:t>
            </w:r>
          </w:p>
          <w:p>
            <w:pPr>
              <w:pStyle w:val="52"/>
              <w:keepNext w:val="0"/>
              <w:keepLines w:val="0"/>
              <w:widowControl/>
              <w:suppressLineNumbers w:val="0"/>
              <w:spacing w:before="0" w:beforeAutospacing="0" w:after="0" w:afterAutospacing="0"/>
              <w:ind w:left="0" w:right="0"/>
              <w:rPr>
                <w:color w:val="auto"/>
                <w:szCs w:val="20"/>
              </w:rPr>
            </w:pPr>
            <w:r>
              <w:rPr>
                <w:color w:val="auto"/>
              </w:rPr>
              <w:t>面积</w:t>
            </w:r>
          </w:p>
        </w:tc>
        <w:tc>
          <w:tcPr>
            <w:tcW w:w="121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szCs w:val="20"/>
                <w:lang w:val="en-US" w:eastAsia="zh-CN"/>
              </w:rPr>
            </w:pPr>
            <w:r>
              <w:rPr>
                <w:rFonts w:hint="eastAsia"/>
                <w:color w:val="auto"/>
                <w:szCs w:val="20"/>
                <w:lang w:val="en-US" w:eastAsia="zh-CN"/>
              </w:rPr>
              <w:t>扰动土地整治率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022" w:type="dxa"/>
            <w:vMerge w:val="continue"/>
            <w:vAlign w:val="center"/>
          </w:tcPr>
          <w:p>
            <w:pPr>
              <w:pStyle w:val="52"/>
              <w:keepNext w:val="0"/>
              <w:keepLines w:val="0"/>
              <w:widowControl/>
              <w:suppressLineNumbers w:val="0"/>
              <w:spacing w:before="0" w:beforeAutospacing="0" w:after="0" w:afterAutospacing="0"/>
              <w:ind w:left="0" w:right="0"/>
              <w:rPr>
                <w:color w:val="auto"/>
                <w:szCs w:val="20"/>
              </w:rPr>
            </w:pPr>
          </w:p>
        </w:tc>
        <w:tc>
          <w:tcPr>
            <w:tcW w:w="5088" w:type="dxa"/>
            <w:gridSpan w:val="6"/>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color w:val="auto"/>
              </w:rPr>
              <w:t>单位：hm</w:t>
            </w:r>
            <w:r>
              <w:rPr>
                <w:color w:val="auto"/>
                <w:vertAlign w:val="superscript"/>
              </w:rPr>
              <w:t>2</w:t>
            </w:r>
          </w:p>
        </w:tc>
        <w:tc>
          <w:tcPr>
            <w:tcW w:w="1218" w:type="dxa"/>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022"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20"/>
                <w:szCs w:val="22"/>
              </w:rPr>
            </w:pPr>
            <w:r>
              <w:rPr>
                <w:rFonts w:hint="eastAsia"/>
                <w:color w:val="auto"/>
                <w:sz w:val="20"/>
                <w:szCs w:val="22"/>
              </w:rPr>
              <w:t>变电站工程区</w:t>
            </w:r>
          </w:p>
        </w:tc>
        <w:tc>
          <w:tcPr>
            <w:tcW w:w="60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宋体"/>
                <w:color w:val="auto"/>
                <w:lang w:val="en-US" w:eastAsia="zh-CN"/>
              </w:rPr>
            </w:pPr>
            <w:r>
              <w:rPr>
                <w:rFonts w:hint="eastAsia" w:eastAsia="宋体"/>
                <w:color w:val="auto"/>
              </w:rPr>
              <w:t>0.</w:t>
            </w:r>
            <w:r>
              <w:rPr>
                <w:rFonts w:hint="eastAsia" w:eastAsia="宋体"/>
                <w:color w:val="auto"/>
                <w:lang w:val="en-US" w:eastAsia="zh-CN"/>
              </w:rPr>
              <w:t>15</w:t>
            </w:r>
          </w:p>
        </w:tc>
        <w:tc>
          <w:tcPr>
            <w:tcW w:w="71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eastAsia="宋体"/>
                <w:color w:val="auto"/>
              </w:rPr>
            </w:pPr>
            <w:r>
              <w:rPr>
                <w:rFonts w:hint="eastAsia" w:eastAsia="宋体"/>
                <w:color w:val="auto"/>
              </w:rPr>
              <w:t>0.</w:t>
            </w:r>
            <w:r>
              <w:rPr>
                <w:rFonts w:hint="eastAsia" w:eastAsia="宋体"/>
                <w:color w:val="auto"/>
                <w:lang w:val="en-US" w:eastAsia="zh-CN"/>
              </w:rPr>
              <w:t>15</w:t>
            </w:r>
          </w:p>
        </w:tc>
        <w:tc>
          <w:tcPr>
            <w:tcW w:w="979"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宋体"/>
                <w:color w:val="auto"/>
                <w:lang w:val="en-US" w:eastAsia="zh-CN"/>
              </w:rPr>
            </w:pPr>
            <w:r>
              <w:rPr>
                <w:rFonts w:hint="eastAsia" w:eastAsia="宋体"/>
                <w:color w:val="auto"/>
                <w:lang w:val="en-US" w:eastAsia="zh-CN"/>
              </w:rPr>
              <w:t>0.01</w:t>
            </w:r>
          </w:p>
        </w:tc>
        <w:tc>
          <w:tcPr>
            <w:tcW w:w="93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宋体"/>
                <w:color w:val="auto"/>
                <w:lang w:val="en-US" w:eastAsia="zh-CN"/>
              </w:rPr>
            </w:pPr>
            <w:r>
              <w:rPr>
                <w:rFonts w:hint="eastAsia" w:eastAsia="宋体"/>
                <w:color w:val="auto"/>
                <w:lang w:val="en-US" w:eastAsia="zh-CN"/>
              </w:rPr>
              <w:t>0.02</w:t>
            </w:r>
          </w:p>
        </w:tc>
        <w:tc>
          <w:tcPr>
            <w:tcW w:w="1149"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宋体"/>
                <w:color w:val="auto"/>
                <w:lang w:val="en-US" w:eastAsia="zh-CN"/>
              </w:rPr>
            </w:pPr>
            <w:r>
              <w:rPr>
                <w:rFonts w:hint="eastAsia" w:eastAsia="宋体"/>
                <w:color w:val="auto"/>
                <w:lang w:val="en-US" w:eastAsia="zh-CN"/>
              </w:rPr>
              <w:t>0.12</w:t>
            </w:r>
          </w:p>
        </w:tc>
        <w:tc>
          <w:tcPr>
            <w:tcW w:w="71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宋体"/>
                <w:color w:val="auto"/>
                <w:lang w:val="en-US" w:eastAsia="zh-CN"/>
              </w:rPr>
            </w:pPr>
            <w:r>
              <w:rPr>
                <w:rFonts w:hint="eastAsia" w:eastAsia="宋体"/>
                <w:color w:val="auto"/>
                <w:lang w:val="en-US" w:eastAsia="zh-CN"/>
              </w:rPr>
              <w:t>0.15</w:t>
            </w:r>
          </w:p>
        </w:tc>
        <w:tc>
          <w:tcPr>
            <w:tcW w:w="1218" w:type="dxa"/>
            <w:shd w:val="clear" w:color="auto" w:fill="auto"/>
            <w:vAlign w:val="center"/>
          </w:tcPr>
          <w:p>
            <w:pPr>
              <w:pStyle w:val="52"/>
              <w:keepNext w:val="0"/>
              <w:keepLines w:val="0"/>
              <w:widowControl/>
              <w:suppressLineNumbers w:val="0"/>
              <w:spacing w:before="0" w:beforeAutospacing="0" w:after="0" w:afterAutospacing="0"/>
              <w:ind w:left="0" w:right="0"/>
              <w:rPr>
                <w:rFonts w:eastAsia="宋体"/>
                <w:color w:val="auto"/>
              </w:rPr>
            </w:pPr>
            <w:r>
              <w:rPr>
                <w:rFonts w:hint="eastAsia" w:eastAsia="宋体"/>
                <w:color w:val="auto"/>
                <w:lang w:val="en-US" w:eastAsia="zh-CN"/>
              </w:rPr>
              <w:t>100</w:t>
            </w:r>
            <w:r>
              <w:rPr>
                <w:rFonts w:hint="eastAsia" w:eastAsia="宋体"/>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022"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20"/>
                <w:szCs w:val="22"/>
              </w:rPr>
            </w:pPr>
            <w:r>
              <w:rPr>
                <w:rFonts w:hint="eastAsia"/>
                <w:color w:val="auto"/>
                <w:sz w:val="20"/>
                <w:szCs w:val="22"/>
              </w:rPr>
              <w:t>线路工程区</w:t>
            </w:r>
          </w:p>
        </w:tc>
        <w:tc>
          <w:tcPr>
            <w:tcW w:w="60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宋体"/>
                <w:color w:val="auto"/>
                <w:lang w:val="en-US" w:eastAsia="zh-CN"/>
              </w:rPr>
            </w:pPr>
            <w:r>
              <w:rPr>
                <w:rFonts w:hint="eastAsia" w:eastAsia="宋体"/>
                <w:color w:val="auto"/>
                <w:lang w:val="en-US" w:eastAsia="zh-CN"/>
              </w:rPr>
              <w:t>1.66</w:t>
            </w:r>
          </w:p>
        </w:tc>
        <w:tc>
          <w:tcPr>
            <w:tcW w:w="71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eastAsia="宋体"/>
                <w:color w:val="auto"/>
              </w:rPr>
            </w:pPr>
            <w:r>
              <w:rPr>
                <w:rFonts w:hint="eastAsia" w:eastAsia="宋体"/>
                <w:color w:val="auto"/>
                <w:lang w:val="en-US" w:eastAsia="zh-CN"/>
              </w:rPr>
              <w:t>1.66</w:t>
            </w:r>
          </w:p>
        </w:tc>
        <w:tc>
          <w:tcPr>
            <w:tcW w:w="979"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宋体"/>
                <w:color w:val="auto"/>
                <w:lang w:val="en-US" w:eastAsia="zh-CN"/>
              </w:rPr>
            </w:pPr>
            <w:r>
              <w:rPr>
                <w:rFonts w:hint="eastAsia" w:eastAsia="宋体"/>
                <w:color w:val="auto"/>
                <w:lang w:val="en-US" w:eastAsia="zh-CN"/>
              </w:rPr>
              <w:t>0.02</w:t>
            </w:r>
          </w:p>
        </w:tc>
        <w:tc>
          <w:tcPr>
            <w:tcW w:w="93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宋体"/>
                <w:color w:val="auto"/>
                <w:lang w:val="en-US" w:eastAsia="zh-CN"/>
              </w:rPr>
            </w:pPr>
            <w:r>
              <w:rPr>
                <w:rFonts w:hint="eastAsia" w:eastAsia="宋体"/>
                <w:color w:val="auto"/>
                <w:lang w:val="en-US" w:eastAsia="zh-CN"/>
              </w:rPr>
              <w:t>1.50</w:t>
            </w:r>
          </w:p>
        </w:tc>
        <w:tc>
          <w:tcPr>
            <w:tcW w:w="1149"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宋体"/>
                <w:color w:val="auto"/>
                <w:lang w:val="en-US" w:eastAsia="zh-CN"/>
              </w:rPr>
            </w:pPr>
            <w:r>
              <w:rPr>
                <w:rFonts w:hint="eastAsia" w:eastAsia="宋体"/>
                <w:color w:val="auto"/>
                <w:lang w:val="en-US" w:eastAsia="zh-CN"/>
              </w:rPr>
              <w:t>0.09</w:t>
            </w:r>
          </w:p>
        </w:tc>
        <w:tc>
          <w:tcPr>
            <w:tcW w:w="71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宋体"/>
                <w:color w:val="auto"/>
                <w:lang w:val="en-US" w:eastAsia="zh-CN"/>
              </w:rPr>
            </w:pPr>
            <w:r>
              <w:rPr>
                <w:rFonts w:hint="eastAsia" w:eastAsia="宋体"/>
                <w:color w:val="auto"/>
                <w:lang w:val="en-US" w:eastAsia="zh-CN"/>
              </w:rPr>
              <w:t>1.61</w:t>
            </w:r>
          </w:p>
        </w:tc>
        <w:tc>
          <w:tcPr>
            <w:tcW w:w="1218" w:type="dxa"/>
            <w:shd w:val="clear" w:color="auto" w:fill="auto"/>
            <w:vAlign w:val="center"/>
          </w:tcPr>
          <w:p>
            <w:pPr>
              <w:pStyle w:val="52"/>
              <w:keepNext w:val="0"/>
              <w:keepLines w:val="0"/>
              <w:widowControl/>
              <w:suppressLineNumbers w:val="0"/>
              <w:spacing w:before="0" w:beforeAutospacing="0" w:after="0" w:afterAutospacing="0"/>
              <w:ind w:left="0" w:right="0"/>
              <w:rPr>
                <w:rFonts w:eastAsia="宋体"/>
                <w:color w:val="auto"/>
              </w:rPr>
            </w:pPr>
            <w:r>
              <w:rPr>
                <w:rFonts w:hint="eastAsia" w:eastAsia="宋体"/>
                <w:color w:val="auto"/>
              </w:rPr>
              <w:t>9</w:t>
            </w:r>
            <w:r>
              <w:rPr>
                <w:rFonts w:hint="eastAsia" w:eastAsia="宋体"/>
                <w:color w:val="auto"/>
                <w:lang w:val="en-US" w:eastAsia="zh-CN"/>
              </w:rPr>
              <w:t>6.99</w:t>
            </w:r>
            <w:r>
              <w:rPr>
                <w:rFonts w:hint="eastAsia" w:eastAsia="宋体"/>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022"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20"/>
                <w:szCs w:val="21"/>
              </w:rPr>
            </w:pPr>
            <w:r>
              <w:rPr>
                <w:rFonts w:hint="eastAsia"/>
                <w:color w:val="auto"/>
                <w:sz w:val="20"/>
                <w:szCs w:val="21"/>
              </w:rPr>
              <w:t>合计</w:t>
            </w:r>
          </w:p>
        </w:tc>
        <w:tc>
          <w:tcPr>
            <w:tcW w:w="603"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宋体"/>
                <w:color w:val="auto"/>
                <w:lang w:eastAsia="zh-CN"/>
              </w:rPr>
            </w:pPr>
            <w:r>
              <w:rPr>
                <w:rFonts w:hint="eastAsia" w:eastAsia="宋体"/>
                <w:color w:val="auto"/>
                <w:lang w:eastAsia="zh-CN"/>
              </w:rPr>
              <w:t>1.81</w:t>
            </w:r>
          </w:p>
        </w:tc>
        <w:tc>
          <w:tcPr>
            <w:tcW w:w="713"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宋体"/>
                <w:color w:val="auto"/>
                <w:lang w:eastAsia="zh-CN"/>
              </w:rPr>
            </w:pPr>
            <w:r>
              <w:rPr>
                <w:rFonts w:hint="eastAsia" w:eastAsia="宋体"/>
                <w:color w:val="auto"/>
                <w:lang w:eastAsia="zh-CN"/>
              </w:rPr>
              <w:t>1.81</w:t>
            </w:r>
          </w:p>
        </w:tc>
        <w:tc>
          <w:tcPr>
            <w:tcW w:w="979"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宋体"/>
                <w:color w:val="auto"/>
                <w:lang w:val="en-US" w:eastAsia="zh-CN"/>
              </w:rPr>
            </w:pPr>
            <w:r>
              <w:rPr>
                <w:rFonts w:hint="eastAsia" w:eastAsia="宋体"/>
                <w:color w:val="auto"/>
                <w:lang w:val="en-US" w:eastAsia="zh-CN"/>
              </w:rPr>
              <w:t>0.03</w:t>
            </w:r>
          </w:p>
        </w:tc>
        <w:tc>
          <w:tcPr>
            <w:tcW w:w="931"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宋体"/>
                <w:color w:val="auto"/>
                <w:lang w:val="en-US" w:eastAsia="zh-CN"/>
              </w:rPr>
            </w:pPr>
            <w:r>
              <w:rPr>
                <w:rFonts w:hint="eastAsia" w:eastAsia="宋体"/>
                <w:color w:val="auto"/>
                <w:lang w:val="en-US" w:eastAsia="zh-CN"/>
              </w:rPr>
              <w:t>1.52</w:t>
            </w:r>
          </w:p>
        </w:tc>
        <w:tc>
          <w:tcPr>
            <w:tcW w:w="1149"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宋体"/>
                <w:color w:val="auto"/>
                <w:lang w:val="en-US" w:eastAsia="zh-CN"/>
              </w:rPr>
            </w:pPr>
            <w:r>
              <w:rPr>
                <w:rFonts w:hint="eastAsia" w:eastAsia="宋体"/>
                <w:color w:val="auto"/>
                <w:lang w:val="en-US" w:eastAsia="zh-CN"/>
              </w:rPr>
              <w:t>0.21</w:t>
            </w:r>
          </w:p>
        </w:tc>
        <w:tc>
          <w:tcPr>
            <w:tcW w:w="713"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宋体"/>
                <w:color w:val="auto"/>
                <w:lang w:val="en-US" w:eastAsia="zh-CN"/>
              </w:rPr>
            </w:pPr>
            <w:r>
              <w:rPr>
                <w:rFonts w:hint="eastAsia" w:eastAsia="宋体"/>
                <w:color w:val="auto"/>
                <w:lang w:val="en-US" w:eastAsia="zh-CN"/>
              </w:rPr>
              <w:t>1.76</w:t>
            </w:r>
          </w:p>
        </w:tc>
        <w:tc>
          <w:tcPr>
            <w:tcW w:w="1218" w:type="dxa"/>
            <w:shd w:val="clear" w:color="auto" w:fill="auto"/>
            <w:vAlign w:val="center"/>
          </w:tcPr>
          <w:p>
            <w:pPr>
              <w:pStyle w:val="52"/>
              <w:keepNext w:val="0"/>
              <w:keepLines w:val="0"/>
              <w:widowControl/>
              <w:suppressLineNumbers w:val="0"/>
              <w:spacing w:before="0" w:beforeAutospacing="0" w:after="0" w:afterAutospacing="0"/>
              <w:ind w:left="0" w:right="0"/>
              <w:rPr>
                <w:rFonts w:eastAsia="宋体"/>
                <w:color w:val="auto"/>
              </w:rPr>
            </w:pPr>
            <w:r>
              <w:rPr>
                <w:rFonts w:hint="eastAsia" w:eastAsia="宋体"/>
                <w:color w:val="auto"/>
                <w:lang w:val="en-US" w:eastAsia="zh-CN"/>
              </w:rPr>
              <w:t>97.24</w:t>
            </w:r>
            <w:r>
              <w:rPr>
                <w:rFonts w:hint="eastAsia" w:eastAsia="宋体"/>
                <w:color w:val="auto"/>
              </w:rPr>
              <w:t>%</w:t>
            </w:r>
          </w:p>
        </w:tc>
      </w:tr>
    </w:tbl>
    <w:p>
      <w:pPr>
        <w:keepNext w:val="0"/>
        <w:keepLines w:val="0"/>
        <w:widowControl/>
        <w:suppressLineNumbers w:val="0"/>
        <w:adjustRightInd w:val="0"/>
        <w:snapToGrid w:val="0"/>
        <w:spacing w:before="120" w:beforeLines="50" w:beforeAutospacing="0" w:after="0" w:afterAutospacing="0" w:line="360" w:lineRule="auto"/>
        <w:ind w:left="0" w:right="0" w:firstLine="480" w:firstLineChars="200"/>
        <w:jc w:val="both"/>
      </w:pPr>
      <w:r>
        <w:t>（2）</w:t>
      </w:r>
      <w:r>
        <w:rPr>
          <w:rFonts w:hint="eastAsia" w:ascii="Times New Roman" w:hAnsi="Times New Roman" w:eastAsia="仿宋_GB2312" w:cs="仿宋_GB2312"/>
          <w:snapToGrid/>
          <w:kern w:val="2"/>
          <w:sz w:val="24"/>
          <w:szCs w:val="24"/>
          <w:lang w:val="en-US" w:eastAsia="zh-CN" w:bidi="ar"/>
        </w:rPr>
        <w:t>水土流失总治理度</w:t>
      </w:r>
    </w:p>
    <w:p>
      <w:pPr>
        <w:keepNext w:val="0"/>
        <w:keepLines w:val="0"/>
        <w:widowControl/>
        <w:suppressLineNumbers w:val="0"/>
        <w:jc w:val="left"/>
      </w:pPr>
      <w:r>
        <w:rPr>
          <w:rFonts w:hint="eastAsia" w:ascii="Times New Roman" w:hAnsi="Times New Roman" w:eastAsia="仿宋_GB2312" w:cs="Times New Roman"/>
          <w:snapToGrid/>
          <w:kern w:val="2"/>
          <w:sz w:val="24"/>
          <w:szCs w:val="24"/>
          <w:lang w:val="en-US" w:eastAsia="zh-CN" w:bidi="ar"/>
        </w:rPr>
        <w:t>水土流失总治理度是指项目建设区内水土流失治理达标面积占水土流失总面积的百分比。本工程造成水土流失面积</w:t>
      </w:r>
      <w:r>
        <w:rPr>
          <w:rFonts w:hint="eastAsia" w:cs="Times New Roman"/>
          <w:snapToGrid/>
          <w:kern w:val="2"/>
          <w:sz w:val="24"/>
          <w:szCs w:val="24"/>
          <w:lang w:val="en-US" w:eastAsia="zh-CN" w:bidi="ar"/>
        </w:rPr>
        <w:t>1.81</w:t>
      </w:r>
      <w:r>
        <w:rPr>
          <w:rFonts w:hint="default" w:ascii="Times New Roman" w:hAnsi="Times New Roman" w:eastAsia="仿宋_GB2312" w:cs="Times New Roman"/>
          <w:snapToGrid/>
          <w:kern w:val="2"/>
          <w:sz w:val="24"/>
          <w:szCs w:val="24"/>
          <w:lang w:val="en-US" w:eastAsia="zh-CN" w:bidi="ar"/>
        </w:rPr>
        <w:t>hm</w:t>
      </w:r>
      <w:r>
        <w:rPr>
          <w:rFonts w:hint="default" w:ascii="Times New Roman" w:hAnsi="Times New Roman" w:eastAsia="仿宋_GB2312" w:cs="Times New Roman"/>
          <w:snapToGrid/>
          <w:kern w:val="2"/>
          <w:sz w:val="24"/>
          <w:szCs w:val="24"/>
          <w:vertAlign w:val="superscript"/>
          <w:lang w:val="en-US" w:eastAsia="zh-CN" w:bidi="ar"/>
        </w:rPr>
        <w:t>2</w:t>
      </w:r>
      <w:r>
        <w:rPr>
          <w:rFonts w:hint="eastAsia" w:ascii="Times New Roman" w:hAnsi="Times New Roman" w:eastAsia="仿宋_GB2312" w:cs="Times New Roman"/>
          <w:snapToGrid/>
          <w:kern w:val="2"/>
          <w:sz w:val="24"/>
          <w:szCs w:val="24"/>
          <w:lang w:val="en-US" w:eastAsia="zh-CN" w:bidi="ar"/>
        </w:rPr>
        <w:t>，根据表</w:t>
      </w:r>
      <w:r>
        <w:rPr>
          <w:rFonts w:hint="default" w:ascii="Times New Roman" w:hAnsi="Times New Roman" w:eastAsia="仿宋_GB2312" w:cs="Times New Roman"/>
          <w:snapToGrid/>
          <w:kern w:val="2"/>
          <w:sz w:val="24"/>
          <w:szCs w:val="24"/>
          <w:lang w:val="en-US" w:eastAsia="zh-CN" w:bidi="ar"/>
        </w:rPr>
        <w:t>5.2-3</w:t>
      </w:r>
      <w:r>
        <w:rPr>
          <w:rFonts w:hint="eastAsia" w:ascii="Times New Roman" w:hAnsi="Times New Roman" w:eastAsia="仿宋_GB2312" w:cs="Times New Roman"/>
          <w:snapToGrid/>
          <w:kern w:val="2"/>
          <w:sz w:val="24"/>
          <w:szCs w:val="24"/>
          <w:lang w:val="en-US" w:eastAsia="zh-CN" w:bidi="ar"/>
        </w:rPr>
        <w:t>的计算结果，本项目水土流失治理达标面积为</w:t>
      </w:r>
      <w:r>
        <w:rPr>
          <w:rFonts w:hint="eastAsia" w:cs="Times New Roman"/>
          <w:snapToGrid/>
          <w:kern w:val="2"/>
          <w:sz w:val="24"/>
          <w:szCs w:val="24"/>
          <w:lang w:val="en-US" w:eastAsia="zh-CN" w:bidi="ar"/>
        </w:rPr>
        <w:t>2.08</w:t>
      </w:r>
      <w:r>
        <w:rPr>
          <w:rFonts w:hint="default" w:ascii="Times New Roman" w:hAnsi="Times New Roman" w:eastAsia="仿宋_GB2312" w:cs="Times New Roman"/>
          <w:snapToGrid/>
          <w:kern w:val="2"/>
          <w:sz w:val="24"/>
          <w:szCs w:val="24"/>
          <w:lang w:val="en-US" w:eastAsia="zh-CN" w:bidi="ar"/>
        </w:rPr>
        <w:t>hm</w:t>
      </w:r>
      <w:r>
        <w:rPr>
          <w:rFonts w:hint="default" w:ascii="Times New Roman" w:hAnsi="Times New Roman" w:eastAsia="仿宋_GB2312" w:cs="Times New Roman"/>
          <w:snapToGrid/>
          <w:kern w:val="2"/>
          <w:sz w:val="24"/>
          <w:szCs w:val="24"/>
          <w:vertAlign w:val="superscript"/>
          <w:lang w:val="en-US" w:eastAsia="zh-CN" w:bidi="ar"/>
        </w:rPr>
        <w:t>2</w:t>
      </w:r>
      <w:r>
        <w:rPr>
          <w:rFonts w:hint="eastAsia" w:ascii="Times New Roman" w:hAnsi="Times New Roman" w:eastAsia="仿宋_GB2312" w:cs="Times New Roman"/>
          <w:snapToGrid/>
          <w:kern w:val="2"/>
          <w:sz w:val="24"/>
          <w:szCs w:val="24"/>
          <w:lang w:val="en-US" w:eastAsia="zh-CN" w:bidi="ar"/>
        </w:rPr>
        <w:t>，项目区水土流失总治理度</w:t>
      </w:r>
      <w:r>
        <w:rPr>
          <w:rFonts w:hint="default" w:ascii="Times New Roman" w:hAnsi="Times New Roman" w:eastAsia="仿宋_GB2312" w:cs="Times New Roman"/>
          <w:snapToGrid/>
          <w:kern w:val="2"/>
          <w:sz w:val="24"/>
          <w:szCs w:val="24"/>
          <w:lang w:val="en-US" w:eastAsia="zh-CN" w:bidi="ar"/>
        </w:rPr>
        <w:t>9</w:t>
      </w:r>
      <w:r>
        <w:rPr>
          <w:rFonts w:hint="eastAsia" w:cs="Times New Roman"/>
          <w:snapToGrid/>
          <w:kern w:val="2"/>
          <w:sz w:val="24"/>
          <w:szCs w:val="24"/>
          <w:lang w:val="en-US" w:eastAsia="zh-CN" w:bidi="ar"/>
        </w:rPr>
        <w:t>4.55</w:t>
      </w:r>
      <w:r>
        <w:rPr>
          <w:rFonts w:hint="default" w:ascii="Times New Roman" w:hAnsi="Times New Roman" w:eastAsia="仿宋_GB2312" w:cs="Times New Roman"/>
          <w:snapToGrid/>
          <w:kern w:val="2"/>
          <w:sz w:val="24"/>
          <w:szCs w:val="24"/>
          <w:lang w:val="en-US" w:eastAsia="zh-CN" w:bidi="ar"/>
        </w:rPr>
        <w:t>%</w:t>
      </w:r>
      <w:r>
        <w:rPr>
          <w:rFonts w:hint="eastAsia" w:ascii="Times New Roman" w:hAnsi="Times New Roman" w:eastAsia="仿宋_GB2312" w:cs="Times New Roman"/>
          <w:snapToGrid/>
          <w:kern w:val="2"/>
          <w:sz w:val="24"/>
          <w:szCs w:val="24"/>
          <w:lang w:val="en-US" w:eastAsia="zh-CN" w:bidi="ar"/>
        </w:rPr>
        <w:t>，达到验收目标值</w:t>
      </w:r>
      <w:r>
        <w:rPr>
          <w:rFonts w:hint="default" w:ascii="Times New Roman" w:hAnsi="Times New Roman" w:eastAsia="仿宋_GB2312" w:cs="Times New Roman"/>
          <w:snapToGrid/>
          <w:kern w:val="2"/>
          <w:sz w:val="24"/>
          <w:szCs w:val="24"/>
          <w:lang w:val="en-US" w:eastAsia="zh-CN" w:bidi="ar"/>
        </w:rPr>
        <w:t>9</w:t>
      </w:r>
      <w:r>
        <w:rPr>
          <w:rFonts w:hint="eastAsia" w:cs="Times New Roman"/>
          <w:snapToGrid/>
          <w:kern w:val="2"/>
          <w:sz w:val="24"/>
          <w:szCs w:val="24"/>
          <w:lang w:val="en-US" w:eastAsia="zh-CN" w:bidi="ar"/>
        </w:rPr>
        <w:t>2</w:t>
      </w:r>
      <w:r>
        <w:rPr>
          <w:rFonts w:hint="default" w:ascii="Times New Roman" w:hAnsi="Times New Roman" w:eastAsia="仿宋_GB2312" w:cs="Times New Roman"/>
          <w:snapToGrid/>
          <w:kern w:val="2"/>
          <w:sz w:val="24"/>
          <w:szCs w:val="24"/>
          <w:lang w:val="en-US" w:eastAsia="zh-CN" w:bidi="ar"/>
        </w:rPr>
        <w:t>%</w:t>
      </w:r>
      <w:r>
        <w:rPr>
          <w:rFonts w:hint="eastAsia" w:ascii="Times New Roman" w:hAnsi="Times New Roman" w:eastAsia="仿宋_GB2312" w:cs="Times New Roman"/>
          <w:snapToGrid/>
          <w:kern w:val="2"/>
          <w:sz w:val="24"/>
          <w:szCs w:val="24"/>
          <w:lang w:val="en-US" w:eastAsia="zh-CN" w:bidi="ar"/>
        </w:rPr>
        <w:t>。</w:t>
      </w:r>
      <w:r>
        <w:t>水土流失治理面积情况见表5.2-3。</w:t>
      </w:r>
    </w:p>
    <w:p>
      <w:pPr>
        <w:pStyle w:val="57"/>
        <w:spacing w:before="120"/>
        <w:rPr>
          <w:color w:val="auto"/>
        </w:rPr>
      </w:pPr>
      <w:r>
        <w:rPr>
          <w:rFonts w:hint="eastAsia"/>
          <w:color w:val="auto"/>
          <w:lang w:val="en-US" w:eastAsia="zh-CN"/>
        </w:rPr>
        <w:t xml:space="preserve">   </w:t>
      </w:r>
      <w:r>
        <w:rPr>
          <w:color w:val="auto"/>
        </w:rPr>
        <w:t>各防治分区</w:t>
      </w:r>
      <w:r>
        <w:rPr>
          <w:rFonts w:hint="eastAsia"/>
          <w:color w:val="auto"/>
        </w:rPr>
        <w:t>水土流失总治理度</w:t>
      </w:r>
      <w:r>
        <w:rPr>
          <w:color w:val="auto"/>
        </w:rPr>
        <w:t>一览表</w:t>
      </w:r>
    </w:p>
    <w:p>
      <w:pPr>
        <w:pStyle w:val="13"/>
        <w:rPr>
          <w:rFonts w:hint="eastAsia" w:eastAsia="仿宋_GB2312"/>
          <w:lang w:eastAsia="zh-CN"/>
        </w:rPr>
      </w:pPr>
      <w:r>
        <w:t>表</w:t>
      </w:r>
      <w:r>
        <w:fldChar w:fldCharType="begin"/>
      </w:r>
      <w:r>
        <w:instrText xml:space="preserve"> STYLEREF 2 \s </w:instrText>
      </w:r>
      <w:r>
        <w:fldChar w:fldCharType="separate"/>
      </w:r>
      <w:r>
        <w:t>5.2</w:t>
      </w:r>
      <w:r>
        <w:fldChar w:fldCharType="end"/>
      </w:r>
      <w:r>
        <w:noBreakHyphen/>
      </w:r>
      <w:r>
        <w:rPr>
          <w:rFonts w:hint="eastAsia"/>
          <w:lang w:val="en-US" w:eastAsia="zh-CN"/>
        </w:rPr>
        <w:t>3</w:t>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2022"/>
        <w:gridCol w:w="603"/>
        <w:gridCol w:w="713"/>
        <w:gridCol w:w="979"/>
        <w:gridCol w:w="931"/>
        <w:gridCol w:w="1149"/>
        <w:gridCol w:w="713"/>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022"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color w:val="auto"/>
              </w:rPr>
              <w:t>分区</w:t>
            </w:r>
          </w:p>
        </w:tc>
        <w:tc>
          <w:tcPr>
            <w:tcW w:w="603" w:type="dxa"/>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color w:val="auto"/>
              </w:rPr>
              <w:t>总面积</w:t>
            </w:r>
          </w:p>
        </w:tc>
        <w:tc>
          <w:tcPr>
            <w:tcW w:w="713" w:type="dxa"/>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rFonts w:hint="eastAsia"/>
                <w:color w:val="auto"/>
              </w:rPr>
              <w:t>水土流失面积</w:t>
            </w:r>
          </w:p>
        </w:tc>
        <w:tc>
          <w:tcPr>
            <w:tcW w:w="979" w:type="dxa"/>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color w:val="auto"/>
              </w:rPr>
              <w:t>工程措施面积</w:t>
            </w:r>
          </w:p>
        </w:tc>
        <w:tc>
          <w:tcPr>
            <w:tcW w:w="931" w:type="dxa"/>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color w:val="auto"/>
              </w:rPr>
              <w:t>植被覆盖面积</w:t>
            </w:r>
          </w:p>
        </w:tc>
        <w:tc>
          <w:tcPr>
            <w:tcW w:w="1149" w:type="dxa"/>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color w:val="auto"/>
              </w:rPr>
              <w:t>硬化及建筑物面积</w:t>
            </w:r>
          </w:p>
        </w:tc>
        <w:tc>
          <w:tcPr>
            <w:tcW w:w="713"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color w:val="auto"/>
                <w:lang w:val="en-US" w:eastAsia="zh-CN"/>
              </w:rPr>
            </w:pPr>
            <w:r>
              <w:rPr>
                <w:rFonts w:hint="eastAsia"/>
                <w:color w:val="auto"/>
                <w:lang w:val="en-US" w:eastAsia="zh-CN"/>
              </w:rPr>
              <w:t>达标</w:t>
            </w:r>
          </w:p>
          <w:p>
            <w:pPr>
              <w:pStyle w:val="52"/>
              <w:keepNext w:val="0"/>
              <w:keepLines w:val="0"/>
              <w:widowControl/>
              <w:suppressLineNumbers w:val="0"/>
              <w:spacing w:before="0" w:beforeAutospacing="0" w:after="0" w:afterAutospacing="0"/>
              <w:ind w:left="0" w:right="0"/>
              <w:rPr>
                <w:color w:val="auto"/>
                <w:szCs w:val="20"/>
              </w:rPr>
            </w:pPr>
            <w:r>
              <w:rPr>
                <w:color w:val="auto"/>
              </w:rPr>
              <w:t>面积</w:t>
            </w:r>
          </w:p>
        </w:tc>
        <w:tc>
          <w:tcPr>
            <w:tcW w:w="1218" w:type="dxa"/>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szCs w:val="20"/>
                <w:lang w:val="en-US" w:eastAsia="zh-CN"/>
              </w:rPr>
            </w:pPr>
            <w:r>
              <w:rPr>
                <w:rFonts w:hint="eastAsia"/>
                <w:color w:val="auto"/>
                <w:szCs w:val="20"/>
                <w:lang w:val="en-US" w:eastAsia="zh-CN"/>
              </w:rPr>
              <w:t>水土流失总治理度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022" w:type="dxa"/>
            <w:vMerge w:val="continue"/>
            <w:vAlign w:val="center"/>
          </w:tcPr>
          <w:p>
            <w:pPr>
              <w:pStyle w:val="52"/>
              <w:keepNext w:val="0"/>
              <w:keepLines w:val="0"/>
              <w:widowControl/>
              <w:suppressLineNumbers w:val="0"/>
              <w:spacing w:before="0" w:beforeAutospacing="0" w:after="0" w:afterAutospacing="0"/>
              <w:ind w:left="0" w:right="0"/>
              <w:rPr>
                <w:color w:val="auto"/>
                <w:szCs w:val="20"/>
              </w:rPr>
            </w:pPr>
          </w:p>
        </w:tc>
        <w:tc>
          <w:tcPr>
            <w:tcW w:w="5088" w:type="dxa"/>
            <w:gridSpan w:val="6"/>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color w:val="auto"/>
              </w:rPr>
              <w:t>单位：hm</w:t>
            </w:r>
            <w:r>
              <w:rPr>
                <w:color w:val="auto"/>
                <w:vertAlign w:val="superscript"/>
              </w:rPr>
              <w:t>2</w:t>
            </w:r>
          </w:p>
        </w:tc>
        <w:tc>
          <w:tcPr>
            <w:tcW w:w="1218" w:type="dxa"/>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022"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20"/>
                <w:szCs w:val="22"/>
              </w:rPr>
            </w:pPr>
            <w:r>
              <w:rPr>
                <w:rFonts w:hint="eastAsia"/>
                <w:color w:val="auto"/>
                <w:sz w:val="20"/>
                <w:szCs w:val="22"/>
              </w:rPr>
              <w:t>变电站工程区</w:t>
            </w:r>
          </w:p>
        </w:tc>
        <w:tc>
          <w:tcPr>
            <w:tcW w:w="60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default" w:eastAsia="宋体"/>
                <w:color w:val="auto"/>
                <w:lang w:val="en-US" w:eastAsia="zh-CN"/>
              </w:rPr>
            </w:pPr>
            <w:r>
              <w:rPr>
                <w:rFonts w:hint="eastAsia" w:eastAsia="宋体"/>
                <w:color w:val="auto"/>
              </w:rPr>
              <w:t>0.</w:t>
            </w:r>
            <w:r>
              <w:rPr>
                <w:rFonts w:hint="eastAsia" w:eastAsia="宋体"/>
                <w:color w:val="auto"/>
                <w:lang w:val="en-US" w:eastAsia="zh-CN"/>
              </w:rPr>
              <w:t>15</w:t>
            </w:r>
          </w:p>
        </w:tc>
        <w:tc>
          <w:tcPr>
            <w:tcW w:w="71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eastAsia="宋体"/>
                <w:color w:val="auto"/>
              </w:rPr>
            </w:pPr>
            <w:r>
              <w:rPr>
                <w:rFonts w:hint="eastAsia" w:eastAsia="宋体"/>
                <w:color w:val="auto"/>
              </w:rPr>
              <w:t>0.</w:t>
            </w:r>
            <w:r>
              <w:rPr>
                <w:rFonts w:hint="eastAsia" w:eastAsia="宋体"/>
                <w:color w:val="auto"/>
                <w:lang w:val="en-US" w:eastAsia="zh-CN"/>
              </w:rPr>
              <w:t>15</w:t>
            </w:r>
          </w:p>
        </w:tc>
        <w:tc>
          <w:tcPr>
            <w:tcW w:w="979"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default" w:eastAsia="宋体"/>
                <w:color w:val="auto"/>
                <w:lang w:val="en-US" w:eastAsia="zh-CN"/>
              </w:rPr>
            </w:pPr>
            <w:r>
              <w:rPr>
                <w:rFonts w:hint="eastAsia" w:eastAsia="宋体"/>
                <w:color w:val="auto"/>
                <w:lang w:val="en-US" w:eastAsia="zh-CN"/>
              </w:rPr>
              <w:t>0.01</w:t>
            </w:r>
          </w:p>
        </w:tc>
        <w:tc>
          <w:tcPr>
            <w:tcW w:w="931"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default" w:eastAsia="宋体"/>
                <w:color w:val="auto"/>
                <w:lang w:val="en-US" w:eastAsia="zh-CN"/>
              </w:rPr>
            </w:pPr>
            <w:r>
              <w:rPr>
                <w:rFonts w:hint="eastAsia" w:eastAsia="宋体"/>
                <w:color w:val="auto"/>
                <w:lang w:val="en-US" w:eastAsia="zh-CN"/>
              </w:rPr>
              <w:t>0.02</w:t>
            </w:r>
          </w:p>
        </w:tc>
        <w:tc>
          <w:tcPr>
            <w:tcW w:w="1149"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default" w:eastAsia="宋体"/>
                <w:color w:val="auto"/>
                <w:lang w:val="en-US" w:eastAsia="zh-CN"/>
              </w:rPr>
            </w:pPr>
            <w:r>
              <w:rPr>
                <w:rFonts w:hint="eastAsia" w:eastAsia="宋体"/>
                <w:color w:val="auto"/>
                <w:lang w:val="en-US" w:eastAsia="zh-CN"/>
              </w:rPr>
              <w:t>0.12</w:t>
            </w:r>
          </w:p>
        </w:tc>
        <w:tc>
          <w:tcPr>
            <w:tcW w:w="71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default" w:eastAsia="宋体"/>
                <w:color w:val="auto"/>
                <w:lang w:val="en-US" w:eastAsia="zh-CN"/>
              </w:rPr>
            </w:pPr>
            <w:r>
              <w:rPr>
                <w:rFonts w:hint="eastAsia" w:eastAsia="宋体"/>
                <w:color w:val="auto"/>
                <w:lang w:val="en-US" w:eastAsia="zh-CN"/>
              </w:rPr>
              <w:t>0.15</w:t>
            </w:r>
          </w:p>
        </w:tc>
        <w:tc>
          <w:tcPr>
            <w:tcW w:w="1218" w:type="dxa"/>
            <w:shd w:val="clear" w:color="auto" w:fill="auto"/>
            <w:vAlign w:val="center"/>
          </w:tcPr>
          <w:p>
            <w:pPr>
              <w:pStyle w:val="52"/>
              <w:keepNext w:val="0"/>
              <w:keepLines w:val="0"/>
              <w:widowControl/>
              <w:suppressLineNumbers w:val="0"/>
              <w:spacing w:before="0" w:beforeAutospacing="0" w:after="0" w:afterAutospacing="0"/>
              <w:ind w:left="0" w:right="0"/>
              <w:rPr>
                <w:rFonts w:eastAsia="宋体"/>
                <w:color w:val="auto"/>
              </w:rPr>
            </w:pPr>
            <w:r>
              <w:rPr>
                <w:rFonts w:hint="eastAsia" w:eastAsia="宋体"/>
                <w:color w:val="auto"/>
                <w:lang w:val="en-US" w:eastAsia="zh-CN"/>
              </w:rPr>
              <w:t>100</w:t>
            </w:r>
            <w:r>
              <w:rPr>
                <w:rFonts w:hint="eastAsia" w:eastAsia="宋体"/>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022"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20"/>
                <w:szCs w:val="22"/>
              </w:rPr>
            </w:pPr>
            <w:r>
              <w:rPr>
                <w:rFonts w:hint="eastAsia"/>
                <w:color w:val="auto"/>
                <w:sz w:val="20"/>
                <w:szCs w:val="22"/>
              </w:rPr>
              <w:t>线路工程区</w:t>
            </w:r>
          </w:p>
        </w:tc>
        <w:tc>
          <w:tcPr>
            <w:tcW w:w="60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default" w:eastAsia="宋体"/>
                <w:color w:val="auto"/>
                <w:lang w:val="en-US" w:eastAsia="zh-CN"/>
              </w:rPr>
            </w:pPr>
            <w:r>
              <w:rPr>
                <w:rFonts w:hint="eastAsia" w:eastAsia="宋体"/>
                <w:color w:val="auto"/>
                <w:lang w:val="en-US" w:eastAsia="zh-CN"/>
              </w:rPr>
              <w:t>1.66</w:t>
            </w:r>
          </w:p>
        </w:tc>
        <w:tc>
          <w:tcPr>
            <w:tcW w:w="71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eastAsia="宋体"/>
                <w:color w:val="auto"/>
              </w:rPr>
            </w:pPr>
            <w:r>
              <w:rPr>
                <w:rFonts w:hint="eastAsia" w:eastAsia="宋体"/>
                <w:color w:val="auto"/>
                <w:lang w:val="en-US" w:eastAsia="zh-CN"/>
              </w:rPr>
              <w:t>1.66</w:t>
            </w:r>
          </w:p>
        </w:tc>
        <w:tc>
          <w:tcPr>
            <w:tcW w:w="979"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default" w:eastAsia="宋体"/>
                <w:color w:val="auto"/>
                <w:lang w:val="en-US" w:eastAsia="zh-CN"/>
              </w:rPr>
            </w:pPr>
            <w:r>
              <w:rPr>
                <w:rFonts w:hint="eastAsia" w:eastAsia="宋体"/>
                <w:color w:val="auto"/>
                <w:lang w:val="en-US" w:eastAsia="zh-CN"/>
              </w:rPr>
              <w:t>0.02</w:t>
            </w:r>
          </w:p>
        </w:tc>
        <w:tc>
          <w:tcPr>
            <w:tcW w:w="931"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default" w:eastAsia="宋体"/>
                <w:color w:val="auto"/>
                <w:lang w:val="en-US" w:eastAsia="zh-CN"/>
              </w:rPr>
            </w:pPr>
            <w:r>
              <w:rPr>
                <w:rFonts w:hint="eastAsia" w:eastAsia="宋体"/>
                <w:color w:val="auto"/>
                <w:lang w:val="en-US" w:eastAsia="zh-CN"/>
              </w:rPr>
              <w:t>1.50</w:t>
            </w:r>
          </w:p>
        </w:tc>
        <w:tc>
          <w:tcPr>
            <w:tcW w:w="1149"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default" w:eastAsia="宋体"/>
                <w:color w:val="auto"/>
                <w:lang w:val="en-US" w:eastAsia="zh-CN"/>
              </w:rPr>
            </w:pPr>
            <w:r>
              <w:rPr>
                <w:rFonts w:hint="eastAsia" w:eastAsia="宋体"/>
                <w:color w:val="auto"/>
                <w:lang w:val="en-US" w:eastAsia="zh-CN"/>
              </w:rPr>
              <w:t>0.09</w:t>
            </w:r>
          </w:p>
        </w:tc>
        <w:tc>
          <w:tcPr>
            <w:tcW w:w="71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default" w:eastAsia="宋体"/>
                <w:color w:val="auto"/>
                <w:lang w:val="en-US" w:eastAsia="zh-CN"/>
              </w:rPr>
            </w:pPr>
            <w:r>
              <w:rPr>
                <w:rFonts w:hint="eastAsia" w:eastAsia="宋体"/>
                <w:color w:val="auto"/>
                <w:lang w:val="en-US" w:eastAsia="zh-CN"/>
              </w:rPr>
              <w:t>1.60</w:t>
            </w:r>
          </w:p>
        </w:tc>
        <w:tc>
          <w:tcPr>
            <w:tcW w:w="1218" w:type="dxa"/>
            <w:shd w:val="clear" w:color="auto" w:fill="auto"/>
            <w:vAlign w:val="center"/>
          </w:tcPr>
          <w:p>
            <w:pPr>
              <w:pStyle w:val="52"/>
              <w:keepNext w:val="0"/>
              <w:keepLines w:val="0"/>
              <w:widowControl/>
              <w:suppressLineNumbers w:val="0"/>
              <w:spacing w:before="0" w:beforeAutospacing="0" w:after="0" w:afterAutospacing="0"/>
              <w:ind w:left="0" w:right="0"/>
              <w:rPr>
                <w:rFonts w:eastAsia="宋体"/>
                <w:color w:val="auto"/>
              </w:rPr>
            </w:pPr>
            <w:r>
              <w:rPr>
                <w:rFonts w:hint="eastAsia" w:eastAsia="宋体"/>
                <w:color w:val="auto"/>
              </w:rPr>
              <w:t>9</w:t>
            </w:r>
            <w:r>
              <w:rPr>
                <w:rFonts w:hint="eastAsia" w:eastAsia="宋体"/>
                <w:color w:val="auto"/>
                <w:lang w:val="en-US" w:eastAsia="zh-CN"/>
              </w:rPr>
              <w:t>6.39</w:t>
            </w:r>
            <w:r>
              <w:rPr>
                <w:rFonts w:hint="eastAsia" w:eastAsia="宋体"/>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022" w:type="dxa"/>
            <w:shd w:val="clear" w:color="auto" w:fill="auto"/>
            <w:vAlign w:val="center"/>
          </w:tcPr>
          <w:p>
            <w:pPr>
              <w:pStyle w:val="52"/>
              <w:keepNext w:val="0"/>
              <w:keepLines w:val="0"/>
              <w:widowControl/>
              <w:suppressLineNumbers w:val="0"/>
              <w:spacing w:before="0" w:beforeAutospacing="0" w:after="0" w:afterAutospacing="0"/>
              <w:ind w:left="0" w:right="0"/>
              <w:rPr>
                <w:color w:val="auto"/>
                <w:sz w:val="20"/>
                <w:szCs w:val="21"/>
              </w:rPr>
            </w:pPr>
            <w:r>
              <w:rPr>
                <w:rFonts w:hint="eastAsia"/>
                <w:color w:val="auto"/>
                <w:sz w:val="20"/>
                <w:szCs w:val="21"/>
              </w:rPr>
              <w:t>合计</w:t>
            </w:r>
          </w:p>
        </w:tc>
        <w:tc>
          <w:tcPr>
            <w:tcW w:w="60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eastAsia" w:eastAsia="宋体"/>
                <w:color w:val="auto"/>
                <w:lang w:eastAsia="zh-CN"/>
              </w:rPr>
            </w:pPr>
            <w:r>
              <w:rPr>
                <w:rFonts w:hint="eastAsia" w:eastAsia="宋体"/>
                <w:color w:val="auto"/>
                <w:lang w:eastAsia="zh-CN"/>
              </w:rPr>
              <w:t>1.81</w:t>
            </w:r>
          </w:p>
        </w:tc>
        <w:tc>
          <w:tcPr>
            <w:tcW w:w="71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eastAsia" w:eastAsia="宋体"/>
                <w:color w:val="auto"/>
                <w:lang w:eastAsia="zh-CN"/>
              </w:rPr>
            </w:pPr>
            <w:r>
              <w:rPr>
                <w:rFonts w:hint="eastAsia" w:eastAsia="宋体"/>
                <w:color w:val="auto"/>
                <w:lang w:eastAsia="zh-CN"/>
              </w:rPr>
              <w:t>1.81</w:t>
            </w:r>
          </w:p>
        </w:tc>
        <w:tc>
          <w:tcPr>
            <w:tcW w:w="979"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default" w:eastAsia="宋体"/>
                <w:color w:val="auto"/>
                <w:lang w:val="en-US" w:eastAsia="zh-CN"/>
              </w:rPr>
            </w:pPr>
            <w:r>
              <w:rPr>
                <w:rFonts w:hint="eastAsia" w:eastAsia="宋体"/>
                <w:color w:val="auto"/>
                <w:lang w:val="en-US" w:eastAsia="zh-CN"/>
              </w:rPr>
              <w:t>0.03</w:t>
            </w:r>
          </w:p>
        </w:tc>
        <w:tc>
          <w:tcPr>
            <w:tcW w:w="931"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default" w:eastAsia="宋体"/>
                <w:color w:val="auto"/>
                <w:lang w:val="en-US" w:eastAsia="zh-CN"/>
              </w:rPr>
            </w:pPr>
            <w:r>
              <w:rPr>
                <w:rFonts w:hint="eastAsia" w:eastAsia="宋体"/>
                <w:color w:val="auto"/>
                <w:lang w:val="en-US" w:eastAsia="zh-CN"/>
              </w:rPr>
              <w:t>1.52</w:t>
            </w:r>
          </w:p>
        </w:tc>
        <w:tc>
          <w:tcPr>
            <w:tcW w:w="1149"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default" w:eastAsia="宋体"/>
                <w:color w:val="auto"/>
                <w:lang w:val="en-US" w:eastAsia="zh-CN"/>
              </w:rPr>
            </w:pPr>
            <w:r>
              <w:rPr>
                <w:rFonts w:hint="eastAsia" w:eastAsia="宋体"/>
                <w:color w:val="auto"/>
                <w:lang w:val="en-US" w:eastAsia="zh-CN"/>
              </w:rPr>
              <w:t>0.21</w:t>
            </w:r>
          </w:p>
        </w:tc>
        <w:tc>
          <w:tcPr>
            <w:tcW w:w="713"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default" w:eastAsia="宋体"/>
                <w:color w:val="auto"/>
                <w:lang w:val="en-US" w:eastAsia="zh-CN"/>
              </w:rPr>
            </w:pPr>
            <w:r>
              <w:rPr>
                <w:rFonts w:hint="eastAsia" w:eastAsia="宋体"/>
                <w:color w:val="auto"/>
                <w:lang w:val="en-US" w:eastAsia="zh-CN"/>
              </w:rPr>
              <w:t>1.75</w:t>
            </w:r>
          </w:p>
        </w:tc>
        <w:tc>
          <w:tcPr>
            <w:tcW w:w="1218" w:type="dxa"/>
            <w:shd w:val="clear" w:color="auto" w:fill="auto"/>
            <w:vAlign w:val="center"/>
          </w:tcPr>
          <w:p>
            <w:pPr>
              <w:pStyle w:val="52"/>
              <w:keepNext w:val="0"/>
              <w:keepLines w:val="0"/>
              <w:widowControl/>
              <w:suppressLineNumbers w:val="0"/>
              <w:spacing w:before="0" w:beforeAutospacing="0" w:after="0" w:afterAutospacing="0"/>
              <w:ind w:left="0" w:right="0"/>
              <w:rPr>
                <w:rFonts w:eastAsia="宋体"/>
                <w:color w:val="auto"/>
              </w:rPr>
            </w:pPr>
            <w:r>
              <w:rPr>
                <w:rFonts w:hint="eastAsia" w:eastAsia="宋体"/>
                <w:color w:val="auto"/>
                <w:lang w:val="en-US" w:eastAsia="zh-CN"/>
              </w:rPr>
              <w:t>96.69</w:t>
            </w:r>
            <w:r>
              <w:rPr>
                <w:rFonts w:hint="eastAsia" w:eastAsia="宋体"/>
                <w:color w:val="auto"/>
              </w:rPr>
              <w:t>%</w:t>
            </w:r>
          </w:p>
        </w:tc>
      </w:tr>
    </w:tbl>
    <w:p>
      <w:pPr>
        <w:keepNext w:val="0"/>
        <w:keepLines w:val="0"/>
        <w:widowControl/>
        <w:suppressLineNumbers w:val="0"/>
        <w:adjustRightInd w:val="0"/>
        <w:snapToGrid w:val="0"/>
        <w:spacing w:before="120" w:beforeLines="50" w:beforeAutospacing="0" w:after="0" w:afterAutospacing="0" w:line="360" w:lineRule="auto"/>
        <w:ind w:left="0" w:right="0" w:firstLine="480" w:firstLineChars="200"/>
        <w:jc w:val="both"/>
      </w:pPr>
      <w:r>
        <w:rPr>
          <w:rFonts w:hint="eastAsia" w:ascii="Times New Roman" w:hAnsi="Times New Roman" w:eastAsia="仿宋_GB2312" w:cs="仿宋_GB2312"/>
          <w:snapToGrid/>
          <w:kern w:val="2"/>
          <w:sz w:val="24"/>
          <w:szCs w:val="24"/>
          <w:lang w:val="en-US" w:eastAsia="zh-CN" w:bidi="ar"/>
        </w:rPr>
        <w:t>（</w:t>
      </w:r>
      <w:r>
        <w:rPr>
          <w:rFonts w:hint="default" w:ascii="Times New Roman" w:hAnsi="Times New Roman" w:eastAsia="仿宋_GB2312" w:cs="Times New Roman"/>
          <w:snapToGrid/>
          <w:kern w:val="2"/>
          <w:sz w:val="24"/>
          <w:szCs w:val="24"/>
          <w:lang w:val="en-US" w:eastAsia="zh-CN" w:bidi="ar"/>
        </w:rPr>
        <w:t>3</w:t>
      </w:r>
      <w:r>
        <w:rPr>
          <w:rFonts w:hint="eastAsia" w:ascii="Times New Roman" w:hAnsi="Times New Roman" w:eastAsia="仿宋_GB2312" w:cs="仿宋_GB2312"/>
          <w:snapToGrid/>
          <w:kern w:val="2"/>
          <w:sz w:val="24"/>
          <w:szCs w:val="24"/>
          <w:lang w:val="en-US" w:eastAsia="zh-CN" w:bidi="ar"/>
        </w:rPr>
        <w:t>）土壤流失控制比</w:t>
      </w:r>
    </w:p>
    <w:p>
      <w:pPr>
        <w:keepNext w:val="0"/>
        <w:keepLines w:val="0"/>
        <w:widowControl/>
        <w:suppressLineNumbers w:val="0"/>
        <w:adjustRightInd w:val="0"/>
        <w:snapToGrid w:val="0"/>
        <w:spacing w:before="120" w:beforeLines="50" w:beforeAutospacing="0" w:after="0" w:afterAutospacing="0" w:line="360" w:lineRule="auto"/>
        <w:ind w:left="0" w:right="0" w:firstLine="480" w:firstLineChars="200"/>
        <w:jc w:val="both"/>
        <w:rPr>
          <w:rFonts w:hint="eastAsia" w:ascii="Times New Roman" w:hAnsi="Times New Roman" w:eastAsia="仿宋_GB2312" w:cs="仿宋_GB2312"/>
          <w:snapToGrid/>
          <w:kern w:val="2"/>
          <w:sz w:val="24"/>
          <w:szCs w:val="24"/>
          <w:lang w:val="en-US" w:eastAsia="zh-CN" w:bidi="ar"/>
        </w:rPr>
      </w:pPr>
      <w:r>
        <w:rPr>
          <w:rFonts w:hint="eastAsia" w:ascii="Times New Roman" w:hAnsi="Times New Roman" w:eastAsia="仿宋_GB2312" w:cs="仿宋_GB2312"/>
          <w:snapToGrid/>
          <w:kern w:val="2"/>
          <w:sz w:val="24"/>
          <w:szCs w:val="24"/>
          <w:lang w:val="en-US" w:eastAsia="zh-CN" w:bidi="ar"/>
        </w:rPr>
        <w:t>本工程土壤容许流失量为</w:t>
      </w:r>
      <w:r>
        <w:rPr>
          <w:rFonts w:hint="default" w:ascii="Times New Roman" w:hAnsi="Times New Roman" w:eastAsia="仿宋_GB2312" w:cs="Times New Roman"/>
          <w:snapToGrid/>
          <w:kern w:val="2"/>
          <w:sz w:val="24"/>
          <w:szCs w:val="24"/>
          <w:lang w:val="en-US" w:eastAsia="zh-CN" w:bidi="ar"/>
        </w:rPr>
        <w:t>500t/km</w:t>
      </w:r>
      <w:r>
        <w:rPr>
          <w:rFonts w:hint="default" w:ascii="Times New Roman" w:hAnsi="Times New Roman" w:eastAsia="仿宋_GB2312" w:cs="Times New Roman"/>
          <w:snapToGrid/>
          <w:kern w:val="2"/>
          <w:sz w:val="24"/>
          <w:szCs w:val="24"/>
          <w:vertAlign w:val="superscript"/>
          <w:lang w:val="en-US" w:eastAsia="zh-CN" w:bidi="ar"/>
        </w:rPr>
        <w:t>2</w:t>
      </w:r>
      <w:r>
        <w:rPr>
          <w:rFonts w:hint="default" w:ascii="Times New Roman" w:hAnsi="Times New Roman" w:eastAsia="仿宋_GB2312" w:cs="Times New Roman"/>
          <w:snapToGrid/>
          <w:kern w:val="2"/>
          <w:sz w:val="24"/>
          <w:szCs w:val="24"/>
          <w:lang w:val="en-US" w:eastAsia="zh-CN" w:bidi="ar"/>
        </w:rPr>
        <w:t>.a</w:t>
      </w:r>
      <w:r>
        <w:rPr>
          <w:rFonts w:hint="eastAsia" w:ascii="Times New Roman" w:hAnsi="Times New Roman" w:eastAsia="仿宋_GB2312" w:cs="仿宋_GB2312"/>
          <w:snapToGrid/>
          <w:kern w:val="2"/>
          <w:sz w:val="24"/>
          <w:szCs w:val="24"/>
          <w:lang w:val="en-US" w:eastAsia="zh-CN" w:bidi="ar"/>
        </w:rPr>
        <w:t>。工程在扰动期间土壤侵蚀量比较大，本项目自投入运行以来，运行正常，施工扰动区域大面积被建筑物、道路硬化、工程设施、植被所覆盖，水土流失</w:t>
      </w:r>
      <w:r>
        <w:rPr>
          <w:rFonts w:hint="eastAsia" w:cs="仿宋_GB2312"/>
          <w:snapToGrid/>
          <w:kern w:val="2"/>
          <w:sz w:val="24"/>
          <w:szCs w:val="24"/>
          <w:lang w:val="en-US" w:eastAsia="zh-CN" w:bidi="ar"/>
        </w:rPr>
        <w:t>基本</w:t>
      </w:r>
      <w:r>
        <w:rPr>
          <w:rFonts w:hint="eastAsia" w:ascii="Times New Roman" w:hAnsi="Times New Roman" w:eastAsia="仿宋_GB2312" w:cs="仿宋_GB2312"/>
          <w:snapToGrid/>
          <w:kern w:val="2"/>
          <w:sz w:val="24"/>
          <w:szCs w:val="24"/>
          <w:lang w:val="en-US" w:eastAsia="zh-CN" w:bidi="ar"/>
        </w:rPr>
        <w:t>得到有效控制，经分析，本工程建设区内年均土壤侵蚀模数为</w:t>
      </w:r>
      <w:r>
        <w:rPr>
          <w:rFonts w:hint="default" w:ascii="Times New Roman" w:hAnsi="Times New Roman" w:eastAsia="仿宋_GB2312" w:cs="Times New Roman"/>
          <w:snapToGrid/>
          <w:kern w:val="2"/>
          <w:sz w:val="24"/>
          <w:szCs w:val="24"/>
          <w:lang w:val="en-US" w:eastAsia="zh-CN" w:bidi="ar"/>
        </w:rPr>
        <w:t>500t/</w:t>
      </w:r>
      <w:r>
        <w:rPr>
          <w:rFonts w:hint="eastAsia" w:ascii="Times New Roman" w:hAnsi="Times New Roman" w:eastAsia="仿宋_GB2312" w:cs="仿宋_GB2312"/>
          <w:snapToGrid/>
          <w:kern w:val="2"/>
          <w:sz w:val="24"/>
          <w:szCs w:val="24"/>
          <w:lang w:val="en-US" w:eastAsia="zh-CN" w:bidi="ar"/>
        </w:rPr>
        <w:t>（</w:t>
      </w:r>
      <w:r>
        <w:rPr>
          <w:rFonts w:hint="default" w:ascii="Times New Roman" w:hAnsi="Times New Roman" w:eastAsia="仿宋_GB2312" w:cs="Times New Roman"/>
          <w:snapToGrid/>
          <w:kern w:val="2"/>
          <w:sz w:val="24"/>
          <w:szCs w:val="24"/>
          <w:lang w:val="en-US" w:eastAsia="zh-CN" w:bidi="ar"/>
        </w:rPr>
        <w:t>km².a</w:t>
      </w:r>
      <w:r>
        <w:rPr>
          <w:rFonts w:hint="eastAsia" w:ascii="Times New Roman" w:hAnsi="Times New Roman" w:eastAsia="仿宋_GB2312" w:cs="仿宋_GB2312"/>
          <w:snapToGrid/>
          <w:kern w:val="2"/>
          <w:sz w:val="24"/>
          <w:szCs w:val="24"/>
          <w:lang w:val="en-US" w:eastAsia="zh-CN" w:bidi="ar"/>
        </w:rPr>
        <w:t>），土壤流失控制比为</w:t>
      </w:r>
      <w:r>
        <w:rPr>
          <w:rFonts w:hint="default" w:ascii="Times New Roman" w:hAnsi="Times New Roman" w:eastAsia="仿宋_GB2312" w:cs="Times New Roman"/>
          <w:snapToGrid/>
          <w:kern w:val="2"/>
          <w:sz w:val="24"/>
          <w:szCs w:val="24"/>
          <w:lang w:val="en-US" w:eastAsia="zh-CN" w:bidi="ar"/>
        </w:rPr>
        <w:t>1.0</w:t>
      </w:r>
      <w:r>
        <w:rPr>
          <w:rFonts w:hint="eastAsia" w:ascii="Times New Roman" w:hAnsi="Times New Roman" w:eastAsia="仿宋_GB2312" w:cs="仿宋_GB2312"/>
          <w:snapToGrid/>
          <w:kern w:val="2"/>
          <w:sz w:val="24"/>
          <w:szCs w:val="24"/>
          <w:lang w:val="en-US" w:eastAsia="zh-CN" w:bidi="ar"/>
        </w:rPr>
        <w:t>，达到验收目标值</w:t>
      </w:r>
      <w:r>
        <w:rPr>
          <w:rFonts w:hint="eastAsia" w:cs="Times New Roman"/>
          <w:snapToGrid/>
          <w:kern w:val="2"/>
          <w:sz w:val="24"/>
          <w:szCs w:val="24"/>
          <w:lang w:val="en-US" w:eastAsia="zh-CN" w:bidi="ar"/>
        </w:rPr>
        <w:t>1.0</w:t>
      </w:r>
      <w:r>
        <w:rPr>
          <w:rFonts w:hint="eastAsia" w:ascii="Times New Roman" w:hAnsi="Times New Roman" w:eastAsia="仿宋_GB2312" w:cs="仿宋_GB2312"/>
          <w:snapToGrid/>
          <w:kern w:val="2"/>
          <w:sz w:val="24"/>
          <w:szCs w:val="24"/>
          <w:lang w:val="en-US" w:eastAsia="zh-CN" w:bidi="ar"/>
        </w:rPr>
        <w:t>。</w:t>
      </w:r>
    </w:p>
    <w:p>
      <w:pPr>
        <w:keepNext w:val="0"/>
        <w:keepLines w:val="0"/>
        <w:widowControl/>
        <w:suppressLineNumbers w:val="0"/>
        <w:adjustRightInd w:val="0"/>
        <w:snapToGrid w:val="0"/>
        <w:spacing w:before="120" w:beforeLines="50" w:beforeAutospacing="0" w:after="0" w:afterAutospacing="0" w:line="360" w:lineRule="auto"/>
        <w:ind w:left="0" w:right="0" w:firstLine="480" w:firstLineChars="200"/>
        <w:jc w:val="both"/>
        <w:rPr>
          <w:rFonts w:hint="eastAsia" w:ascii="Times New Roman" w:hAnsi="Times New Roman" w:eastAsia="仿宋_GB2312" w:cs="仿宋_GB2312"/>
          <w:snapToGrid/>
          <w:kern w:val="2"/>
          <w:sz w:val="24"/>
          <w:szCs w:val="24"/>
          <w:lang w:val="en-US" w:eastAsia="zh-CN" w:bidi="ar"/>
        </w:rPr>
      </w:pPr>
    </w:p>
    <w:p>
      <w:pPr>
        <w:keepNext w:val="0"/>
        <w:keepLines w:val="0"/>
        <w:widowControl/>
        <w:suppressLineNumbers w:val="0"/>
        <w:adjustRightInd w:val="0"/>
        <w:snapToGrid w:val="0"/>
        <w:spacing w:before="120" w:beforeLines="50" w:beforeAutospacing="0" w:after="0" w:afterAutospacing="0" w:line="360" w:lineRule="auto"/>
        <w:ind w:left="0" w:right="0" w:firstLine="480" w:firstLineChars="200"/>
        <w:jc w:val="both"/>
        <w:rPr>
          <w:rFonts w:hint="eastAsia" w:ascii="Times New Roman" w:hAnsi="Times New Roman" w:eastAsia="仿宋_GB2312" w:cs="仿宋_GB2312"/>
          <w:snapToGrid/>
          <w:kern w:val="2"/>
          <w:sz w:val="24"/>
          <w:szCs w:val="24"/>
          <w:lang w:val="en-US" w:eastAsia="zh-CN" w:bidi="ar"/>
        </w:rPr>
      </w:pPr>
    </w:p>
    <w:p>
      <w:pPr>
        <w:keepNext w:val="0"/>
        <w:keepLines w:val="0"/>
        <w:widowControl/>
        <w:suppressLineNumbers w:val="0"/>
        <w:adjustRightInd w:val="0"/>
        <w:snapToGrid w:val="0"/>
        <w:spacing w:before="120" w:beforeLines="50" w:beforeAutospacing="0" w:after="0" w:afterAutospacing="0" w:line="360" w:lineRule="auto"/>
        <w:ind w:left="0" w:right="0" w:firstLine="480" w:firstLineChars="200"/>
        <w:jc w:val="both"/>
        <w:rPr>
          <w:rFonts w:hint="eastAsia" w:ascii="Times New Roman" w:hAnsi="Times New Roman" w:eastAsia="仿宋_GB2312" w:cs="仿宋_GB2312"/>
          <w:snapToGrid/>
          <w:kern w:val="2"/>
          <w:sz w:val="24"/>
          <w:szCs w:val="24"/>
          <w:lang w:val="en-US" w:eastAsia="zh-CN" w:bidi="ar"/>
        </w:rPr>
      </w:pPr>
    </w:p>
    <w:p>
      <w:pPr>
        <w:keepNext w:val="0"/>
        <w:keepLines w:val="0"/>
        <w:widowControl/>
        <w:suppressLineNumbers w:val="0"/>
        <w:adjustRightInd w:val="0"/>
        <w:snapToGrid w:val="0"/>
        <w:spacing w:before="120" w:beforeLines="50" w:beforeAutospacing="0" w:after="0" w:afterAutospacing="0" w:line="360" w:lineRule="auto"/>
        <w:ind w:left="0" w:right="0" w:firstLine="480" w:firstLineChars="200"/>
        <w:jc w:val="both"/>
        <w:rPr>
          <w:rFonts w:hint="eastAsia" w:ascii="Times New Roman" w:hAnsi="Times New Roman" w:eastAsia="仿宋_GB2312" w:cs="仿宋_GB2312"/>
          <w:snapToGrid/>
          <w:kern w:val="2"/>
          <w:sz w:val="24"/>
          <w:szCs w:val="24"/>
          <w:lang w:val="en-US" w:eastAsia="zh-CN" w:bidi="ar"/>
        </w:rPr>
      </w:pPr>
    </w:p>
    <w:p>
      <w:pPr>
        <w:pStyle w:val="57"/>
        <w:spacing w:before="120"/>
        <w:rPr>
          <w:color w:val="auto"/>
        </w:rPr>
      </w:pPr>
      <w:r>
        <w:rPr>
          <w:color w:val="auto"/>
        </w:rPr>
        <w:t>各防治分区</w:t>
      </w:r>
      <w:r>
        <w:rPr>
          <w:rFonts w:hint="eastAsia"/>
          <w:color w:val="auto"/>
        </w:rPr>
        <w:t>土壤流失控制比</w:t>
      </w:r>
      <w:r>
        <w:rPr>
          <w:color w:val="auto"/>
        </w:rPr>
        <w:t>一览表</w:t>
      </w:r>
    </w:p>
    <w:p>
      <w:pPr>
        <w:pStyle w:val="13"/>
        <w:rPr>
          <w:rFonts w:hint="eastAsia" w:eastAsia="仿宋_GB2312"/>
          <w:lang w:eastAsia="zh-CN"/>
        </w:rPr>
      </w:pPr>
      <w:r>
        <w:t>表</w:t>
      </w:r>
      <w:r>
        <w:rPr>
          <w:vertAlign w:val="superscript"/>
        </w:rPr>
        <w:t xml:space="preserve"> </w:t>
      </w:r>
      <w:r>
        <w:fldChar w:fldCharType="begin"/>
      </w:r>
      <w:r>
        <w:instrText xml:space="preserve"> STYLEREF 2 \s </w:instrText>
      </w:r>
      <w:r>
        <w:fldChar w:fldCharType="separate"/>
      </w:r>
      <w:r>
        <w:t>5.2</w:t>
      </w:r>
      <w:r>
        <w:fldChar w:fldCharType="end"/>
      </w:r>
      <w:r>
        <w:noBreakHyphen/>
      </w:r>
      <w:r>
        <w:rPr>
          <w:rFonts w:hint="eastAsia"/>
          <w:lang w:val="en-US" w:eastAsia="zh-CN"/>
        </w:rPr>
        <w:t>4</w:t>
      </w:r>
    </w:p>
    <w:tbl>
      <w:tblPr>
        <w:tblStyle w:val="32"/>
        <w:tblW w:w="832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 w:type="dxa"/>
          <w:bottom w:w="0" w:type="dxa"/>
          <w:right w:w="11" w:type="dxa"/>
        </w:tblCellMar>
      </w:tblPr>
      <w:tblGrid>
        <w:gridCol w:w="1775"/>
        <w:gridCol w:w="1614"/>
        <w:gridCol w:w="1375"/>
        <w:gridCol w:w="1833"/>
        <w:gridCol w:w="17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 w:type="dxa"/>
            <w:bottom w:w="0" w:type="dxa"/>
            <w:right w:w="11" w:type="dxa"/>
          </w:tblCellMar>
        </w:tblPrEx>
        <w:trPr>
          <w:trHeight w:val="340" w:hRule="atLeast"/>
        </w:trPr>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0"/>
              <w:keepNext w:val="0"/>
              <w:keepLines w:val="0"/>
              <w:widowControl/>
              <w:suppressLineNumbers w:val="0"/>
              <w:spacing w:before="0" w:beforeLines="0" w:beforeAutospacing="0" w:after="0" w:afterAutospacing="0" w:line="240" w:lineRule="exact"/>
              <w:ind w:left="0" w:right="0" w:firstLine="0" w:firstLineChars="0"/>
              <w:jc w:val="center"/>
              <w:rPr>
                <w:sz w:val="21"/>
                <w:szCs w:val="21"/>
              </w:rPr>
            </w:pPr>
            <w:r>
              <w:rPr>
                <w:rFonts w:hint="eastAsia" w:cs="仿宋_GB2312"/>
                <w:sz w:val="21"/>
                <w:szCs w:val="21"/>
              </w:rPr>
              <w:t>分区名称</w:t>
            </w:r>
          </w:p>
        </w:tc>
        <w:tc>
          <w:tcPr>
            <w:tcW w:w="161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0"/>
              <w:keepNext w:val="0"/>
              <w:keepLines w:val="0"/>
              <w:widowControl/>
              <w:suppressLineNumbers w:val="0"/>
              <w:spacing w:before="0" w:beforeLines="0" w:beforeAutospacing="0" w:after="0" w:afterAutospacing="0" w:line="240" w:lineRule="exact"/>
              <w:ind w:left="0" w:right="0" w:firstLine="0" w:firstLineChars="0"/>
              <w:jc w:val="center"/>
              <w:rPr>
                <w:sz w:val="21"/>
                <w:szCs w:val="21"/>
              </w:rPr>
            </w:pPr>
            <w:r>
              <w:rPr>
                <w:rFonts w:hint="eastAsia" w:cs="仿宋_GB2312"/>
                <w:sz w:val="21"/>
                <w:szCs w:val="21"/>
              </w:rPr>
              <w:t>占地面积</w:t>
            </w:r>
            <w:r>
              <w:rPr>
                <w:sz w:val="21"/>
                <w:szCs w:val="21"/>
              </w:rPr>
              <w:t>(hm</w:t>
            </w:r>
            <w:r>
              <w:rPr>
                <w:sz w:val="21"/>
                <w:szCs w:val="21"/>
                <w:vertAlign w:val="superscript"/>
              </w:rPr>
              <w:t>2</w:t>
            </w:r>
            <w:r>
              <w:rPr>
                <w:sz w:val="21"/>
                <w:szCs w:val="21"/>
              </w:rPr>
              <w:t>)</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0"/>
              <w:keepNext w:val="0"/>
              <w:keepLines w:val="0"/>
              <w:widowControl/>
              <w:suppressLineNumbers w:val="0"/>
              <w:spacing w:before="0" w:beforeLines="0" w:beforeAutospacing="0" w:after="0" w:afterAutospacing="0" w:line="240" w:lineRule="exact"/>
              <w:ind w:left="0" w:right="0" w:firstLine="0" w:firstLineChars="0"/>
              <w:jc w:val="center"/>
              <w:rPr>
                <w:sz w:val="21"/>
                <w:szCs w:val="21"/>
              </w:rPr>
            </w:pPr>
            <w:r>
              <w:rPr>
                <w:rFonts w:hint="eastAsia" w:cs="仿宋_GB2312"/>
                <w:sz w:val="21"/>
                <w:szCs w:val="21"/>
              </w:rPr>
              <w:t>设计水平年土壤侵蚀（</w:t>
            </w:r>
            <w:r>
              <w:rPr>
                <w:sz w:val="21"/>
                <w:szCs w:val="21"/>
              </w:rPr>
              <w:t>t/km²·a</w:t>
            </w:r>
            <w:r>
              <w:rPr>
                <w:rFonts w:hint="eastAsia" w:cs="仿宋_GB2312"/>
                <w:sz w:val="21"/>
                <w:szCs w:val="21"/>
              </w:rPr>
              <w:t>）</w:t>
            </w:r>
          </w:p>
        </w:tc>
        <w:tc>
          <w:tcPr>
            <w:tcW w:w="183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0"/>
              <w:keepNext w:val="0"/>
              <w:keepLines w:val="0"/>
              <w:widowControl/>
              <w:suppressLineNumbers w:val="0"/>
              <w:spacing w:before="0" w:beforeLines="0" w:beforeAutospacing="0" w:after="0" w:afterAutospacing="0" w:line="240" w:lineRule="exact"/>
              <w:ind w:left="0" w:right="0" w:firstLine="0" w:firstLineChars="0"/>
              <w:jc w:val="center"/>
              <w:rPr>
                <w:sz w:val="21"/>
                <w:szCs w:val="21"/>
              </w:rPr>
            </w:pPr>
            <w:r>
              <w:rPr>
                <w:rFonts w:hint="eastAsia" w:cs="仿宋_GB2312"/>
                <w:sz w:val="21"/>
                <w:szCs w:val="21"/>
              </w:rPr>
              <w:t>允许土壤侵蚀模数（</w:t>
            </w:r>
            <w:r>
              <w:rPr>
                <w:sz w:val="21"/>
                <w:szCs w:val="21"/>
              </w:rPr>
              <w:t>t/km²·a</w:t>
            </w:r>
            <w:r>
              <w:rPr>
                <w:rFonts w:hint="eastAsia" w:cs="仿宋_GB2312"/>
                <w:sz w:val="21"/>
                <w:szCs w:val="21"/>
              </w:rPr>
              <w:t>）</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0"/>
              <w:keepNext w:val="0"/>
              <w:keepLines w:val="0"/>
              <w:widowControl/>
              <w:suppressLineNumbers w:val="0"/>
              <w:spacing w:before="0" w:beforeLines="0" w:beforeAutospacing="0" w:after="0" w:afterAutospacing="0" w:line="240" w:lineRule="exact"/>
              <w:ind w:left="0" w:right="0" w:firstLine="0" w:firstLineChars="0"/>
              <w:jc w:val="center"/>
              <w:rPr>
                <w:sz w:val="21"/>
                <w:szCs w:val="21"/>
              </w:rPr>
            </w:pPr>
            <w:r>
              <w:rPr>
                <w:rFonts w:hint="eastAsia" w:cs="仿宋_GB2312"/>
                <w:sz w:val="21"/>
                <w:szCs w:val="21"/>
              </w:rPr>
              <w:t>水土流失控制比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 w:type="dxa"/>
            <w:bottom w:w="0" w:type="dxa"/>
            <w:right w:w="11" w:type="dxa"/>
          </w:tblCellMar>
        </w:tblPrEx>
        <w:trPr>
          <w:trHeight w:val="340" w:hRule="atLeast"/>
        </w:trPr>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0"/>
              <w:keepNext w:val="0"/>
              <w:keepLines w:val="0"/>
              <w:widowControl/>
              <w:suppressLineNumbers w:val="0"/>
              <w:spacing w:before="0" w:beforeLines="0" w:beforeAutospacing="0" w:after="0" w:afterAutospacing="0" w:line="240" w:lineRule="exact"/>
              <w:ind w:left="0" w:right="0" w:firstLine="0" w:firstLineChars="0"/>
              <w:jc w:val="center"/>
              <w:rPr>
                <w:sz w:val="21"/>
                <w:szCs w:val="21"/>
              </w:rPr>
            </w:pPr>
            <w:r>
              <w:rPr>
                <w:rFonts w:hint="eastAsia" w:cs="仿宋_GB2312"/>
                <w:sz w:val="21"/>
                <w:szCs w:val="21"/>
              </w:rPr>
              <w:t>变电站工程区</w:t>
            </w:r>
          </w:p>
        </w:tc>
        <w:tc>
          <w:tcPr>
            <w:tcW w:w="161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sz w:val="21"/>
                <w:szCs w:val="21"/>
              </w:rPr>
            </w:pPr>
            <w:r>
              <w:rPr>
                <w:rFonts w:hint="eastAsia" w:eastAsia="宋体"/>
                <w:color w:val="auto"/>
              </w:rPr>
              <w:t>0.</w:t>
            </w:r>
            <w:r>
              <w:rPr>
                <w:rFonts w:hint="eastAsia" w:eastAsia="宋体"/>
                <w:color w:val="auto"/>
                <w:lang w:val="en-US" w:eastAsia="zh-CN"/>
              </w:rPr>
              <w:t>15</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0"/>
              <w:keepNext w:val="0"/>
              <w:keepLines w:val="0"/>
              <w:widowControl/>
              <w:suppressLineNumbers w:val="0"/>
              <w:spacing w:before="0" w:beforeLines="0" w:beforeAutospacing="0" w:after="0" w:afterAutospacing="0" w:line="240" w:lineRule="exact"/>
              <w:ind w:left="0" w:right="0" w:firstLine="0" w:firstLineChars="0"/>
              <w:jc w:val="center"/>
              <w:rPr>
                <w:sz w:val="21"/>
                <w:szCs w:val="21"/>
              </w:rPr>
            </w:pPr>
            <w:r>
              <w:rPr>
                <w:sz w:val="21"/>
                <w:szCs w:val="21"/>
              </w:rPr>
              <w:t>500</w:t>
            </w:r>
          </w:p>
        </w:tc>
        <w:tc>
          <w:tcPr>
            <w:tcW w:w="183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0"/>
              <w:keepNext w:val="0"/>
              <w:keepLines w:val="0"/>
              <w:widowControl/>
              <w:suppressLineNumbers w:val="0"/>
              <w:spacing w:before="0" w:beforeLines="0" w:beforeAutospacing="0" w:after="0" w:afterAutospacing="0" w:line="240" w:lineRule="exact"/>
              <w:ind w:left="0" w:right="0" w:firstLine="0" w:firstLineChars="0"/>
              <w:jc w:val="center"/>
              <w:rPr>
                <w:sz w:val="21"/>
                <w:szCs w:val="21"/>
              </w:rPr>
            </w:pPr>
            <w:r>
              <w:rPr>
                <w:sz w:val="21"/>
                <w:szCs w:val="21"/>
              </w:rPr>
              <w:t>500</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0"/>
              <w:keepNext w:val="0"/>
              <w:keepLines w:val="0"/>
              <w:widowControl/>
              <w:suppressLineNumbers w:val="0"/>
              <w:spacing w:before="0" w:beforeLines="0" w:beforeAutospacing="0" w:after="0" w:afterAutospacing="0" w:line="240" w:lineRule="exact"/>
              <w:ind w:left="0" w:right="0" w:firstLine="0" w:firstLineChars="0"/>
              <w:jc w:val="center"/>
              <w:rPr>
                <w:sz w:val="21"/>
                <w:szCs w:val="21"/>
              </w:rPr>
            </w:pPr>
            <w:r>
              <w:rPr>
                <w:sz w:val="21"/>
                <w:szCs w:val="21"/>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 w:type="dxa"/>
            <w:bottom w:w="0" w:type="dxa"/>
            <w:right w:w="11" w:type="dxa"/>
          </w:tblCellMar>
        </w:tblPrEx>
        <w:trPr>
          <w:trHeight w:val="340" w:hRule="atLeast"/>
        </w:trPr>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0"/>
              <w:keepNext w:val="0"/>
              <w:keepLines w:val="0"/>
              <w:widowControl/>
              <w:suppressLineNumbers w:val="0"/>
              <w:spacing w:before="0" w:beforeLines="0" w:beforeAutospacing="0" w:after="0" w:afterAutospacing="0" w:line="240" w:lineRule="exact"/>
              <w:ind w:left="0" w:right="0" w:firstLine="0" w:firstLineChars="0"/>
              <w:jc w:val="center"/>
              <w:rPr>
                <w:sz w:val="21"/>
                <w:szCs w:val="21"/>
              </w:rPr>
            </w:pPr>
            <w:r>
              <w:rPr>
                <w:rFonts w:hint="eastAsia" w:cs="仿宋_GB2312"/>
                <w:sz w:val="21"/>
                <w:szCs w:val="21"/>
              </w:rPr>
              <w:t>线路工程区</w:t>
            </w:r>
          </w:p>
        </w:tc>
        <w:tc>
          <w:tcPr>
            <w:tcW w:w="161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sz w:val="21"/>
                <w:szCs w:val="21"/>
              </w:rPr>
            </w:pPr>
            <w:r>
              <w:rPr>
                <w:rFonts w:hint="eastAsia" w:eastAsia="宋体"/>
                <w:color w:val="auto"/>
                <w:lang w:val="en-US" w:eastAsia="zh-CN"/>
              </w:rPr>
              <w:t>1.66</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0"/>
              <w:keepNext w:val="0"/>
              <w:keepLines w:val="0"/>
              <w:widowControl/>
              <w:suppressLineNumbers w:val="0"/>
              <w:spacing w:before="0" w:beforeLines="0" w:beforeAutospacing="0" w:after="0" w:afterAutospacing="0" w:line="240" w:lineRule="exact"/>
              <w:ind w:left="0" w:right="0" w:firstLine="0" w:firstLineChars="0"/>
              <w:jc w:val="center"/>
              <w:rPr>
                <w:sz w:val="21"/>
                <w:szCs w:val="21"/>
              </w:rPr>
            </w:pPr>
            <w:r>
              <w:rPr>
                <w:sz w:val="21"/>
                <w:szCs w:val="21"/>
              </w:rPr>
              <w:t>500</w:t>
            </w:r>
          </w:p>
        </w:tc>
        <w:tc>
          <w:tcPr>
            <w:tcW w:w="183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0"/>
              <w:keepNext w:val="0"/>
              <w:keepLines w:val="0"/>
              <w:widowControl/>
              <w:suppressLineNumbers w:val="0"/>
              <w:spacing w:before="0" w:beforeLines="0" w:beforeAutospacing="0" w:after="0" w:afterAutospacing="0" w:line="240" w:lineRule="exact"/>
              <w:ind w:left="0" w:right="0" w:firstLine="0" w:firstLineChars="0"/>
              <w:jc w:val="center"/>
              <w:rPr>
                <w:sz w:val="21"/>
                <w:szCs w:val="21"/>
              </w:rPr>
            </w:pPr>
            <w:r>
              <w:rPr>
                <w:sz w:val="21"/>
                <w:szCs w:val="21"/>
              </w:rPr>
              <w:t>500</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0"/>
              <w:keepNext w:val="0"/>
              <w:keepLines w:val="0"/>
              <w:widowControl/>
              <w:suppressLineNumbers w:val="0"/>
              <w:spacing w:before="0" w:beforeLines="0" w:beforeAutospacing="0" w:after="0" w:afterAutospacing="0" w:line="240" w:lineRule="exact"/>
              <w:ind w:left="0" w:right="0" w:firstLine="0" w:firstLineChars="0"/>
              <w:jc w:val="center"/>
              <w:rPr>
                <w:sz w:val="21"/>
                <w:szCs w:val="21"/>
              </w:rPr>
            </w:pPr>
            <w:r>
              <w:rPr>
                <w:sz w:val="21"/>
                <w:szCs w:val="21"/>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 w:type="dxa"/>
            <w:bottom w:w="0" w:type="dxa"/>
            <w:right w:w="11" w:type="dxa"/>
          </w:tblCellMar>
        </w:tblPrEx>
        <w:trPr>
          <w:trHeight w:val="340" w:hRule="atLeast"/>
        </w:trPr>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0"/>
              <w:keepNext w:val="0"/>
              <w:keepLines w:val="0"/>
              <w:widowControl/>
              <w:suppressLineNumbers w:val="0"/>
              <w:spacing w:before="0" w:beforeLines="0" w:beforeAutospacing="0" w:after="0" w:afterAutospacing="0" w:line="240" w:lineRule="exact"/>
              <w:ind w:left="0" w:right="0" w:firstLine="0" w:firstLineChars="0"/>
              <w:jc w:val="center"/>
              <w:rPr>
                <w:sz w:val="21"/>
                <w:szCs w:val="21"/>
              </w:rPr>
            </w:pPr>
            <w:r>
              <w:rPr>
                <w:rFonts w:hint="eastAsia" w:cs="仿宋_GB2312"/>
                <w:sz w:val="21"/>
                <w:szCs w:val="21"/>
              </w:rPr>
              <w:t>合计</w:t>
            </w:r>
          </w:p>
        </w:tc>
        <w:tc>
          <w:tcPr>
            <w:tcW w:w="161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eastAsia" w:eastAsia="仿宋_GB2312"/>
                <w:sz w:val="21"/>
                <w:szCs w:val="21"/>
                <w:lang w:eastAsia="zh-CN"/>
              </w:rPr>
            </w:pPr>
            <w:r>
              <w:rPr>
                <w:rFonts w:hint="eastAsia" w:eastAsia="宋体"/>
                <w:color w:val="auto"/>
                <w:lang w:eastAsia="zh-CN"/>
              </w:rPr>
              <w:t>1.81</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0"/>
              <w:keepNext w:val="0"/>
              <w:keepLines w:val="0"/>
              <w:widowControl/>
              <w:suppressLineNumbers w:val="0"/>
              <w:spacing w:before="0" w:beforeLines="0" w:beforeAutospacing="0" w:after="0" w:afterAutospacing="0" w:line="240" w:lineRule="exact"/>
              <w:ind w:left="0" w:right="0" w:firstLine="0" w:firstLineChars="0"/>
              <w:jc w:val="center"/>
              <w:rPr>
                <w:sz w:val="21"/>
                <w:szCs w:val="21"/>
              </w:rPr>
            </w:pPr>
            <w:r>
              <w:rPr>
                <w:sz w:val="21"/>
                <w:szCs w:val="21"/>
              </w:rPr>
              <w:t>500</w:t>
            </w:r>
          </w:p>
        </w:tc>
        <w:tc>
          <w:tcPr>
            <w:tcW w:w="183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0"/>
              <w:keepNext w:val="0"/>
              <w:keepLines w:val="0"/>
              <w:widowControl/>
              <w:suppressLineNumbers w:val="0"/>
              <w:spacing w:before="0" w:beforeLines="0" w:beforeAutospacing="0" w:after="0" w:afterAutospacing="0" w:line="240" w:lineRule="exact"/>
              <w:ind w:left="0" w:right="0" w:firstLine="0" w:firstLineChars="0"/>
              <w:jc w:val="center"/>
              <w:rPr>
                <w:sz w:val="21"/>
                <w:szCs w:val="21"/>
              </w:rPr>
            </w:pPr>
            <w:r>
              <w:rPr>
                <w:sz w:val="21"/>
                <w:szCs w:val="21"/>
              </w:rPr>
              <w:t>500</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0"/>
              <w:keepNext w:val="0"/>
              <w:keepLines w:val="0"/>
              <w:widowControl/>
              <w:suppressLineNumbers w:val="0"/>
              <w:spacing w:before="0" w:beforeLines="0" w:beforeAutospacing="0" w:after="0" w:afterAutospacing="0" w:line="240" w:lineRule="exact"/>
              <w:ind w:left="0" w:right="0" w:firstLine="0" w:firstLineChars="0"/>
              <w:jc w:val="center"/>
              <w:rPr>
                <w:sz w:val="21"/>
                <w:szCs w:val="21"/>
              </w:rPr>
            </w:pPr>
            <w:r>
              <w:rPr>
                <w:sz w:val="21"/>
                <w:szCs w:val="21"/>
              </w:rPr>
              <w:t>1.0</w:t>
            </w:r>
          </w:p>
        </w:tc>
      </w:tr>
    </w:tbl>
    <w:p>
      <w:pPr>
        <w:spacing w:before="120"/>
        <w:ind w:firstLine="480"/>
      </w:pPr>
      <w:r>
        <w:t>（</w:t>
      </w:r>
      <w:r>
        <w:rPr>
          <w:rFonts w:hint="eastAsia"/>
          <w:lang w:val="en-US" w:eastAsia="zh-CN"/>
        </w:rPr>
        <w:t>4</w:t>
      </w:r>
      <w:r>
        <w:t>）</w:t>
      </w:r>
      <w:r>
        <w:rPr>
          <w:rFonts w:hint="eastAsia"/>
          <w:lang w:val="en-US" w:eastAsia="zh-CN"/>
        </w:rPr>
        <w:t>拦渣</w:t>
      </w:r>
      <w:r>
        <w:rPr>
          <w:rFonts w:hint="eastAsia"/>
        </w:rPr>
        <w:t>率</w:t>
      </w:r>
    </w:p>
    <w:p>
      <w:pPr>
        <w:spacing w:before="120"/>
        <w:ind w:firstLine="480"/>
      </w:pPr>
      <w:r>
        <w:rPr>
          <w:rFonts w:hint="eastAsia" w:cs="仿宋_GB2312"/>
        </w:rPr>
        <w:t>根据查阅</w:t>
      </w:r>
      <w:r>
        <w:rPr>
          <w:rFonts w:hint="eastAsia" w:cs="仿宋_GB2312"/>
          <w:lang w:eastAsia="zh-CN"/>
        </w:rPr>
        <w:t>完工</w:t>
      </w:r>
      <w:r>
        <w:rPr>
          <w:rFonts w:hint="eastAsia" w:cs="仿宋_GB2312"/>
        </w:rPr>
        <w:t>验收等相关资料获知，本工程在建设期间拦渣率可达到</w:t>
      </w:r>
      <w:r>
        <w:t>9</w:t>
      </w:r>
      <w:r>
        <w:rPr>
          <w:rFonts w:hint="eastAsia"/>
          <w:lang w:val="en-US" w:eastAsia="zh-CN"/>
        </w:rPr>
        <w:t>6.5</w:t>
      </w:r>
      <w:r>
        <w:t>%</w:t>
      </w:r>
      <w:r>
        <w:rPr>
          <w:rFonts w:hint="eastAsia" w:cs="仿宋_GB2312"/>
        </w:rPr>
        <w:t>，达到验收目标值</w:t>
      </w:r>
      <w:r>
        <w:rPr>
          <w:rFonts w:hint="eastAsia"/>
          <w:lang w:val="en-US" w:eastAsia="zh-CN"/>
        </w:rPr>
        <w:t>95</w:t>
      </w:r>
      <w:r>
        <w:t>%</w:t>
      </w:r>
      <w:r>
        <w:rPr>
          <w:rFonts w:hint="eastAsia" w:cs="仿宋_GB2312"/>
        </w:rPr>
        <w:t>。</w:t>
      </w:r>
    </w:p>
    <w:p>
      <w:pPr>
        <w:pStyle w:val="4"/>
        <w:spacing w:before="120"/>
      </w:pPr>
      <w:bookmarkStart w:id="152" w:name="_Toc7768"/>
      <w:bookmarkStart w:id="153" w:name="_Toc515873350"/>
      <w:bookmarkStart w:id="154" w:name="_Toc24638"/>
      <w:bookmarkStart w:id="155" w:name="_Toc484280832"/>
      <w:bookmarkStart w:id="156" w:name="_Toc13154"/>
      <w:bookmarkStart w:id="157" w:name="_Toc489977050"/>
      <w:bookmarkStart w:id="158" w:name="_Toc496268094"/>
      <w:r>
        <w:t>生态环境和土地生产力恢复</w:t>
      </w:r>
      <w:bookmarkEnd w:id="152"/>
      <w:bookmarkEnd w:id="153"/>
      <w:bookmarkEnd w:id="154"/>
      <w:bookmarkEnd w:id="155"/>
      <w:bookmarkEnd w:id="156"/>
      <w:bookmarkEnd w:id="157"/>
      <w:bookmarkEnd w:id="158"/>
    </w:p>
    <w:p>
      <w:pPr>
        <w:widowControl w:val="0"/>
        <w:numPr>
          <w:ilvl w:val="0"/>
          <w:numId w:val="5"/>
        </w:numPr>
        <w:adjustRightInd/>
        <w:snapToGrid/>
        <w:spacing w:before="120"/>
        <w:ind w:firstLine="480"/>
      </w:pPr>
      <w:r>
        <w:t>林草植被恢复率</w:t>
      </w:r>
    </w:p>
    <w:p>
      <w:pPr>
        <w:spacing w:beforeLines="0"/>
        <w:ind w:firstLine="480"/>
        <w:rPr>
          <w:szCs w:val="28"/>
        </w:rPr>
      </w:pPr>
      <w:r>
        <w:rPr>
          <w:szCs w:val="28"/>
        </w:rPr>
        <w:t>林草植被恢复率指项目建设区内，林草类植被面积占可恢复林草植被（在目前经济、技术条件下适宜于恢复林草植被）面积的百分比，可恢复植被面积是指可以采取植物措施的面积。</w:t>
      </w:r>
    </w:p>
    <w:p>
      <w:pPr>
        <w:spacing w:beforeLines="0"/>
        <w:ind w:firstLine="480"/>
      </w:pPr>
      <w:r>
        <w:t>该工程水土保持方案实施后，实测项目区域实际可恢复植被面积为</w:t>
      </w:r>
      <w:r>
        <w:rPr>
          <w:rFonts w:hint="eastAsia"/>
          <w:lang w:val="en-US" w:eastAsia="zh-CN"/>
        </w:rPr>
        <w:t>1.53</w:t>
      </w:r>
      <w:r>
        <w:t>hm</w:t>
      </w:r>
      <w:r>
        <w:rPr>
          <w:vertAlign w:val="superscript"/>
        </w:rPr>
        <w:t>2</w:t>
      </w:r>
      <w:r>
        <w:t>，植物措施面积为</w:t>
      </w:r>
      <w:r>
        <w:rPr>
          <w:rFonts w:hint="eastAsia"/>
          <w:lang w:val="en-US" w:eastAsia="zh-CN"/>
        </w:rPr>
        <w:t>1.52</w:t>
      </w:r>
      <w:r>
        <w:t>hm</w:t>
      </w:r>
      <w:r>
        <w:rPr>
          <w:vertAlign w:val="superscript"/>
        </w:rPr>
        <w:t>2</w:t>
      </w:r>
      <w:r>
        <w:t>。大部分植被恢复良好，林草植被恢复率达</w:t>
      </w:r>
      <w:r>
        <w:rPr>
          <w:rFonts w:hint="eastAsia"/>
          <w:lang w:val="en-US" w:eastAsia="zh-CN"/>
        </w:rPr>
        <w:t>99.35</w:t>
      </w:r>
      <w:r>
        <w:t>%，达到验收目标值</w:t>
      </w:r>
      <w:r>
        <w:rPr>
          <w:rFonts w:hint="eastAsia"/>
        </w:rPr>
        <w:t>9</w:t>
      </w:r>
      <w:r>
        <w:rPr>
          <w:rFonts w:hint="eastAsia"/>
          <w:lang w:val="en-US" w:eastAsia="zh-CN"/>
        </w:rPr>
        <w:t>8</w:t>
      </w:r>
      <w:r>
        <w:t>%。林草</w:t>
      </w:r>
      <w:r>
        <w:rPr>
          <w:rFonts w:hint="eastAsia"/>
          <w:lang w:val="en-US" w:eastAsia="zh-CN"/>
        </w:rPr>
        <w:t>植</w:t>
      </w:r>
      <w:r>
        <w:t>被恢复率计算见下表。</w:t>
      </w:r>
    </w:p>
    <w:p>
      <w:pPr>
        <w:pStyle w:val="57"/>
        <w:spacing w:before="120"/>
        <w:rPr>
          <w:color w:val="auto"/>
        </w:rPr>
      </w:pPr>
      <w:r>
        <w:rPr>
          <w:color w:val="auto"/>
        </w:rPr>
        <w:t>各防治分区林草植被恢复率一览表</w:t>
      </w:r>
    </w:p>
    <w:p>
      <w:pPr>
        <w:pStyle w:val="13"/>
      </w:pPr>
      <w:r>
        <w:t xml:space="preserve">表 </w:t>
      </w:r>
      <w:r>
        <w:fldChar w:fldCharType="begin"/>
      </w:r>
      <w:r>
        <w:instrText xml:space="preserve"> STYLEREF 2 \s </w:instrText>
      </w:r>
      <w:r>
        <w:fldChar w:fldCharType="separate"/>
      </w:r>
      <w:r>
        <w:t>5.2</w:t>
      </w:r>
      <w:r>
        <w:fldChar w:fldCharType="end"/>
      </w:r>
      <w:r>
        <w:noBreakHyphen/>
      </w:r>
      <w:r>
        <w:fldChar w:fldCharType="begin"/>
      </w:r>
      <w:r>
        <w:instrText xml:space="preserve"> SEQ 表 \* ARABIC \s 2 </w:instrText>
      </w:r>
      <w:r>
        <w:fldChar w:fldCharType="separate"/>
      </w:r>
      <w:r>
        <w:t>5</w:t>
      </w:r>
      <w:r>
        <w:fldChar w:fldCharType="end"/>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2297"/>
        <w:gridCol w:w="706"/>
        <w:gridCol w:w="1161"/>
        <w:gridCol w:w="1387"/>
        <w:gridCol w:w="1161"/>
        <w:gridCol w:w="1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297" w:type="dxa"/>
            <w:vMerge w:val="restart"/>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color w:val="auto"/>
              </w:rPr>
              <w:t>项目分区</w:t>
            </w:r>
          </w:p>
        </w:tc>
        <w:tc>
          <w:tcPr>
            <w:tcW w:w="706" w:type="dxa"/>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color w:val="auto"/>
              </w:rPr>
              <w:t>总面积</w:t>
            </w:r>
          </w:p>
        </w:tc>
        <w:tc>
          <w:tcPr>
            <w:tcW w:w="1161" w:type="dxa"/>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color w:val="auto"/>
              </w:rPr>
              <w:t>可绿化面积</w:t>
            </w:r>
          </w:p>
        </w:tc>
        <w:tc>
          <w:tcPr>
            <w:tcW w:w="1387" w:type="dxa"/>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color w:val="auto"/>
              </w:rPr>
              <w:t>植物措施面积</w:t>
            </w:r>
          </w:p>
        </w:tc>
        <w:tc>
          <w:tcPr>
            <w:tcW w:w="1161" w:type="dxa"/>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color w:val="auto"/>
              </w:rPr>
              <w:t>未绿化面积</w:t>
            </w:r>
          </w:p>
        </w:tc>
        <w:tc>
          <w:tcPr>
            <w:tcW w:w="1616" w:type="dxa"/>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color w:val="auto"/>
              </w:rPr>
              <w:t>林草植被恢复率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297" w:type="dxa"/>
            <w:vMerge w:val="continue"/>
            <w:vAlign w:val="center"/>
          </w:tcPr>
          <w:p>
            <w:pPr>
              <w:pStyle w:val="52"/>
              <w:keepNext w:val="0"/>
              <w:keepLines w:val="0"/>
              <w:widowControl/>
              <w:suppressLineNumbers w:val="0"/>
              <w:spacing w:before="0" w:beforeAutospacing="0" w:after="0" w:afterAutospacing="0"/>
              <w:ind w:left="0" w:right="0"/>
              <w:rPr>
                <w:color w:val="auto"/>
                <w:szCs w:val="20"/>
              </w:rPr>
            </w:pPr>
          </w:p>
        </w:tc>
        <w:tc>
          <w:tcPr>
            <w:tcW w:w="4415" w:type="dxa"/>
            <w:gridSpan w:val="4"/>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color w:val="auto"/>
              </w:rPr>
              <w:t>单位：hm</w:t>
            </w:r>
            <w:r>
              <w:rPr>
                <w:color w:val="auto"/>
                <w:vertAlign w:val="superscript"/>
              </w:rPr>
              <w:t>2</w:t>
            </w:r>
          </w:p>
        </w:tc>
        <w:tc>
          <w:tcPr>
            <w:tcW w:w="1616" w:type="dxa"/>
            <w:shd w:val="clear" w:color="auto" w:fill="auto"/>
            <w:vAlign w:val="center"/>
          </w:tcPr>
          <w:p>
            <w:pPr>
              <w:pStyle w:val="52"/>
              <w:keepNext w:val="0"/>
              <w:keepLines w:val="0"/>
              <w:widowControl/>
              <w:suppressLineNumbers w:val="0"/>
              <w:spacing w:before="0" w:beforeAutospacing="0" w:after="0" w:afterAutospacing="0"/>
              <w:ind w:left="0" w:right="0"/>
              <w:rPr>
                <w:color w:val="auto"/>
                <w:szCs w:val="20"/>
              </w:rPr>
            </w:pPr>
            <w:r>
              <w:rPr>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297" w:type="dxa"/>
            <w:shd w:val="clear" w:color="auto" w:fill="auto"/>
            <w:vAlign w:val="center"/>
          </w:tcPr>
          <w:p>
            <w:pPr>
              <w:pStyle w:val="52"/>
              <w:keepNext w:val="0"/>
              <w:keepLines w:val="0"/>
              <w:widowControl/>
              <w:suppressLineNumbers w:val="0"/>
              <w:spacing w:before="0" w:beforeAutospacing="0" w:after="0" w:afterAutospacing="0"/>
              <w:ind w:left="0" w:right="0"/>
              <w:rPr>
                <w:rFonts w:hAnsi="宋体" w:cs="宋体"/>
                <w:color w:val="auto"/>
              </w:rPr>
            </w:pPr>
            <w:r>
              <w:rPr>
                <w:rFonts w:hint="eastAsia"/>
                <w:color w:val="auto"/>
              </w:rPr>
              <w:t>变电站工程区</w:t>
            </w:r>
          </w:p>
        </w:tc>
        <w:tc>
          <w:tcPr>
            <w:tcW w:w="706"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Ansi="宋体" w:cs="宋体"/>
                <w:color w:val="auto"/>
              </w:rPr>
            </w:pPr>
            <w:r>
              <w:rPr>
                <w:rFonts w:hint="eastAsia" w:eastAsia="宋体"/>
                <w:color w:val="auto"/>
              </w:rPr>
              <w:t>0.</w:t>
            </w:r>
            <w:r>
              <w:rPr>
                <w:rFonts w:hint="eastAsia" w:eastAsia="宋体"/>
                <w:color w:val="auto"/>
                <w:lang w:val="en-US" w:eastAsia="zh-CN"/>
              </w:rPr>
              <w:t>15</w:t>
            </w:r>
          </w:p>
        </w:tc>
        <w:tc>
          <w:tcPr>
            <w:tcW w:w="1161"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default" w:hAnsi="宋体" w:eastAsia="仿宋_GB2312" w:cs="宋体"/>
                <w:color w:val="auto"/>
                <w:lang w:val="en-US" w:eastAsia="zh-CN"/>
              </w:rPr>
            </w:pPr>
            <w:r>
              <w:rPr>
                <w:rFonts w:hint="eastAsia" w:eastAsia="宋体"/>
                <w:color w:val="auto"/>
                <w:lang w:val="en-US" w:eastAsia="zh-CN"/>
              </w:rPr>
              <w:t>0.02</w:t>
            </w:r>
          </w:p>
        </w:tc>
        <w:tc>
          <w:tcPr>
            <w:tcW w:w="1387"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eastAsia="宋体"/>
                <w:color w:val="auto"/>
              </w:rPr>
            </w:pPr>
            <w:r>
              <w:rPr>
                <w:rFonts w:hint="eastAsia" w:eastAsia="宋体"/>
                <w:color w:val="auto"/>
                <w:lang w:val="en-US" w:eastAsia="zh-CN"/>
              </w:rPr>
              <w:t>0.02</w:t>
            </w:r>
          </w:p>
        </w:tc>
        <w:tc>
          <w:tcPr>
            <w:tcW w:w="1161" w:type="dxa"/>
            <w:shd w:val="clear" w:color="auto" w:fill="auto"/>
            <w:vAlign w:val="center"/>
          </w:tcPr>
          <w:p>
            <w:pPr>
              <w:pStyle w:val="52"/>
              <w:keepNext w:val="0"/>
              <w:keepLines w:val="0"/>
              <w:widowControl/>
              <w:suppressLineNumbers w:val="0"/>
              <w:spacing w:before="0" w:beforeAutospacing="0" w:after="0" w:afterAutospacing="0"/>
              <w:ind w:left="0" w:right="0"/>
              <w:rPr>
                <w:rFonts w:hAnsi="宋体" w:cs="宋体"/>
                <w:color w:val="auto"/>
              </w:rPr>
            </w:pPr>
            <w:r>
              <w:rPr>
                <w:rFonts w:hint="eastAsia" w:hAnsi="宋体" w:cs="宋体"/>
                <w:color w:val="auto"/>
              </w:rPr>
              <w:t>0</w:t>
            </w:r>
          </w:p>
        </w:tc>
        <w:tc>
          <w:tcPr>
            <w:tcW w:w="1616" w:type="dxa"/>
            <w:shd w:val="clear" w:color="auto" w:fill="auto"/>
            <w:vAlign w:val="center"/>
          </w:tcPr>
          <w:p>
            <w:pPr>
              <w:pStyle w:val="52"/>
              <w:keepNext w:val="0"/>
              <w:keepLines w:val="0"/>
              <w:widowControl/>
              <w:suppressLineNumbers w:val="0"/>
              <w:spacing w:before="0" w:beforeAutospacing="0" w:after="0" w:afterAutospacing="0"/>
              <w:ind w:left="0" w:right="0"/>
              <w:rPr>
                <w:rFonts w:eastAsia="宋体" w:cs="Times New Roman"/>
                <w:color w:val="auto"/>
              </w:rPr>
            </w:pPr>
            <w:r>
              <w:rPr>
                <w:rFonts w:hint="eastAsia" w:eastAsia="宋体" w:cs="Times New Roman"/>
                <w:color w:val="aut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297" w:type="dxa"/>
            <w:shd w:val="clear" w:color="auto" w:fill="auto"/>
            <w:vAlign w:val="center"/>
          </w:tcPr>
          <w:p>
            <w:pPr>
              <w:pStyle w:val="52"/>
              <w:keepNext w:val="0"/>
              <w:keepLines w:val="0"/>
              <w:widowControl/>
              <w:suppressLineNumbers w:val="0"/>
              <w:spacing w:before="0" w:beforeAutospacing="0" w:after="0" w:afterAutospacing="0"/>
              <w:ind w:left="0" w:right="0"/>
              <w:rPr>
                <w:rFonts w:hAnsi="宋体" w:cs="宋体"/>
                <w:color w:val="auto"/>
              </w:rPr>
            </w:pPr>
            <w:r>
              <w:rPr>
                <w:rFonts w:hint="eastAsia"/>
                <w:color w:val="auto"/>
              </w:rPr>
              <w:t>线路工程区</w:t>
            </w:r>
          </w:p>
        </w:tc>
        <w:tc>
          <w:tcPr>
            <w:tcW w:w="706"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Ansi="宋体" w:cs="宋体"/>
                <w:color w:val="auto"/>
              </w:rPr>
            </w:pPr>
            <w:r>
              <w:rPr>
                <w:rFonts w:hint="eastAsia" w:eastAsia="宋体"/>
                <w:color w:val="auto"/>
                <w:lang w:val="en-US" w:eastAsia="zh-CN"/>
              </w:rPr>
              <w:t>1.66</w:t>
            </w:r>
          </w:p>
        </w:tc>
        <w:tc>
          <w:tcPr>
            <w:tcW w:w="1161"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default" w:hAnsi="宋体" w:eastAsia="仿宋_GB2312" w:cs="宋体"/>
                <w:color w:val="auto"/>
                <w:lang w:val="en-US" w:eastAsia="zh-CN"/>
              </w:rPr>
            </w:pPr>
            <w:r>
              <w:rPr>
                <w:rFonts w:hint="eastAsia" w:eastAsia="宋体"/>
                <w:color w:val="auto"/>
                <w:lang w:val="en-US" w:eastAsia="zh-CN"/>
              </w:rPr>
              <w:t>1.51</w:t>
            </w:r>
          </w:p>
        </w:tc>
        <w:tc>
          <w:tcPr>
            <w:tcW w:w="1387"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eastAsia="宋体"/>
                <w:color w:val="auto"/>
              </w:rPr>
            </w:pPr>
            <w:r>
              <w:rPr>
                <w:rFonts w:hint="eastAsia" w:eastAsia="宋体"/>
                <w:color w:val="auto"/>
                <w:lang w:val="en-US" w:eastAsia="zh-CN"/>
              </w:rPr>
              <w:t>1.50</w:t>
            </w:r>
          </w:p>
        </w:tc>
        <w:tc>
          <w:tcPr>
            <w:tcW w:w="1161"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hAnsi="宋体" w:eastAsia="仿宋_GB2312" w:cs="宋体"/>
                <w:color w:val="auto"/>
                <w:lang w:val="en-US" w:eastAsia="zh-CN"/>
              </w:rPr>
            </w:pPr>
            <w:r>
              <w:rPr>
                <w:rFonts w:hint="eastAsia" w:hAnsi="宋体" w:cs="宋体"/>
                <w:color w:val="auto"/>
              </w:rPr>
              <w:t>0.0</w:t>
            </w:r>
            <w:r>
              <w:rPr>
                <w:rFonts w:hint="eastAsia" w:hAnsi="宋体" w:cs="宋体"/>
                <w:color w:val="auto"/>
                <w:lang w:val="en-US" w:eastAsia="zh-CN"/>
              </w:rPr>
              <w:t>1</w:t>
            </w:r>
          </w:p>
        </w:tc>
        <w:tc>
          <w:tcPr>
            <w:tcW w:w="1616" w:type="dxa"/>
            <w:shd w:val="clear" w:color="auto" w:fill="auto"/>
            <w:vAlign w:val="center"/>
          </w:tcPr>
          <w:p>
            <w:pPr>
              <w:pStyle w:val="52"/>
              <w:keepNext w:val="0"/>
              <w:keepLines w:val="0"/>
              <w:widowControl/>
              <w:suppressLineNumbers w:val="0"/>
              <w:spacing w:before="0" w:beforeAutospacing="0" w:after="0" w:afterAutospacing="0"/>
              <w:ind w:left="0" w:right="0"/>
              <w:rPr>
                <w:rFonts w:eastAsia="宋体" w:cs="Times New Roman"/>
                <w:color w:val="auto"/>
              </w:rPr>
            </w:pPr>
            <w:r>
              <w:rPr>
                <w:rFonts w:hint="eastAsia" w:eastAsia="宋体" w:cs="Times New Roman"/>
                <w:color w:val="auto"/>
                <w:lang w:val="en-US" w:eastAsia="zh-CN"/>
              </w:rPr>
              <w:t>99.34</w:t>
            </w:r>
            <w:r>
              <w:rPr>
                <w:rFonts w:hint="eastAsia" w:eastAsia="宋体" w:cs="Times New Roman"/>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297" w:type="dxa"/>
            <w:shd w:val="clear" w:color="auto" w:fill="auto"/>
            <w:vAlign w:val="center"/>
          </w:tcPr>
          <w:p>
            <w:pPr>
              <w:pStyle w:val="52"/>
              <w:keepNext w:val="0"/>
              <w:keepLines w:val="0"/>
              <w:widowControl/>
              <w:suppressLineNumbers w:val="0"/>
              <w:spacing w:before="0" w:beforeAutospacing="0" w:after="0" w:afterAutospacing="0"/>
              <w:ind w:left="0" w:right="0"/>
              <w:rPr>
                <w:rFonts w:hAnsi="宋体" w:cs="宋体"/>
                <w:color w:val="auto"/>
              </w:rPr>
            </w:pPr>
            <w:r>
              <w:rPr>
                <w:rFonts w:hint="eastAsia"/>
                <w:color w:val="auto"/>
              </w:rPr>
              <w:t>合计</w:t>
            </w:r>
          </w:p>
        </w:tc>
        <w:tc>
          <w:tcPr>
            <w:tcW w:w="706"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eastAsia" w:hAnsi="宋体" w:eastAsia="仿宋_GB2312" w:cs="宋体"/>
                <w:color w:val="auto"/>
                <w:lang w:eastAsia="zh-CN"/>
              </w:rPr>
            </w:pPr>
            <w:r>
              <w:rPr>
                <w:rFonts w:hint="eastAsia" w:eastAsia="宋体"/>
                <w:color w:val="auto"/>
                <w:lang w:eastAsia="zh-CN"/>
              </w:rPr>
              <w:t>1.81</w:t>
            </w:r>
          </w:p>
        </w:tc>
        <w:tc>
          <w:tcPr>
            <w:tcW w:w="1161"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default" w:eastAsia="宋体" w:cs="Times New Roman"/>
                <w:color w:val="auto"/>
                <w:lang w:val="en-US" w:eastAsia="zh-CN"/>
              </w:rPr>
            </w:pPr>
            <w:r>
              <w:rPr>
                <w:rFonts w:hint="eastAsia" w:eastAsia="宋体"/>
                <w:color w:val="auto"/>
                <w:lang w:val="en-US" w:eastAsia="zh-CN"/>
              </w:rPr>
              <w:t>1.53</w:t>
            </w:r>
          </w:p>
        </w:tc>
        <w:tc>
          <w:tcPr>
            <w:tcW w:w="1387" w:type="dxa"/>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eastAsia="宋体"/>
                <w:color w:val="auto"/>
              </w:rPr>
            </w:pPr>
            <w:r>
              <w:rPr>
                <w:rFonts w:hint="eastAsia" w:eastAsia="宋体"/>
                <w:color w:val="auto"/>
                <w:lang w:val="en-US" w:eastAsia="zh-CN"/>
              </w:rPr>
              <w:t>1.52</w:t>
            </w:r>
          </w:p>
        </w:tc>
        <w:tc>
          <w:tcPr>
            <w:tcW w:w="1161" w:type="dxa"/>
            <w:shd w:val="clear" w:color="auto" w:fill="auto"/>
            <w:vAlign w:val="center"/>
          </w:tcPr>
          <w:p>
            <w:pPr>
              <w:pStyle w:val="52"/>
              <w:keepNext w:val="0"/>
              <w:keepLines w:val="0"/>
              <w:widowControl/>
              <w:suppressLineNumbers w:val="0"/>
              <w:spacing w:before="0" w:beforeAutospacing="0" w:after="0" w:afterAutospacing="0"/>
              <w:ind w:left="0" w:right="0"/>
              <w:rPr>
                <w:rFonts w:hint="eastAsia" w:hAnsi="宋体" w:eastAsia="仿宋_GB2312" w:cs="宋体"/>
                <w:color w:val="auto"/>
                <w:lang w:val="en-US" w:eastAsia="zh-CN"/>
              </w:rPr>
            </w:pPr>
            <w:r>
              <w:rPr>
                <w:rFonts w:hint="eastAsia" w:hAnsi="宋体" w:cs="宋体"/>
                <w:color w:val="auto"/>
              </w:rPr>
              <w:t>0.0</w:t>
            </w:r>
            <w:r>
              <w:rPr>
                <w:rFonts w:hint="eastAsia" w:hAnsi="宋体" w:cs="宋体"/>
                <w:color w:val="auto"/>
                <w:lang w:val="en-US" w:eastAsia="zh-CN"/>
              </w:rPr>
              <w:t>1</w:t>
            </w:r>
          </w:p>
        </w:tc>
        <w:tc>
          <w:tcPr>
            <w:tcW w:w="1616" w:type="dxa"/>
            <w:shd w:val="clear" w:color="auto" w:fill="auto"/>
            <w:vAlign w:val="center"/>
          </w:tcPr>
          <w:p>
            <w:pPr>
              <w:pStyle w:val="52"/>
              <w:keepNext w:val="0"/>
              <w:keepLines w:val="0"/>
              <w:widowControl/>
              <w:suppressLineNumbers w:val="0"/>
              <w:spacing w:before="0" w:beforeAutospacing="0" w:after="0" w:afterAutospacing="0"/>
              <w:ind w:left="0" w:right="0"/>
              <w:rPr>
                <w:rFonts w:eastAsia="宋体" w:cs="Times New Roman"/>
                <w:color w:val="auto"/>
              </w:rPr>
            </w:pPr>
            <w:r>
              <w:rPr>
                <w:rFonts w:hint="eastAsia" w:eastAsia="宋体" w:cs="Times New Roman"/>
                <w:color w:val="auto"/>
              </w:rPr>
              <w:t>9</w:t>
            </w:r>
            <w:r>
              <w:rPr>
                <w:rFonts w:hint="eastAsia" w:eastAsia="宋体" w:cs="Times New Roman"/>
                <w:color w:val="auto"/>
                <w:lang w:val="en-US" w:eastAsia="zh-CN"/>
              </w:rPr>
              <w:t>9.35</w:t>
            </w:r>
            <w:r>
              <w:rPr>
                <w:rFonts w:hint="eastAsia" w:eastAsia="宋体" w:cs="Times New Roman"/>
                <w:color w:val="auto"/>
              </w:rPr>
              <w:t>%</w:t>
            </w:r>
          </w:p>
        </w:tc>
      </w:tr>
    </w:tbl>
    <w:p>
      <w:pPr>
        <w:spacing w:before="120"/>
        <w:ind w:firstLine="480"/>
      </w:pPr>
      <w:r>
        <w:t>（2）林草覆盖率</w:t>
      </w:r>
    </w:p>
    <w:p>
      <w:pPr>
        <w:spacing w:before="120"/>
        <w:ind w:firstLine="480"/>
      </w:pPr>
      <w:r>
        <w:t>林草覆盖率为项目建设区内林草植被面积占项目建设区面积的百分比。林草类植被面积是指开发建设项目建设区内所有人工和天然森林、灌木林和草地的面积。项目建设期验收范围的面积为</w:t>
      </w:r>
      <w:r>
        <w:rPr>
          <w:rFonts w:hint="eastAsia"/>
          <w:lang w:eastAsia="zh-CN"/>
        </w:rPr>
        <w:t>1.81</w:t>
      </w:r>
      <w:r>
        <w:t>hm</w:t>
      </w:r>
      <w:r>
        <w:rPr>
          <w:vertAlign w:val="superscript"/>
        </w:rPr>
        <w:t>2</w:t>
      </w:r>
      <w:r>
        <w:t>，</w:t>
      </w:r>
      <w:r>
        <w:rPr>
          <w:rFonts w:hint="eastAsia"/>
          <w:lang w:val="en-US" w:eastAsia="zh-CN"/>
        </w:rPr>
        <w:t>本阶段</w:t>
      </w:r>
      <w:r>
        <w:t>林草覆盖率为</w:t>
      </w:r>
      <w:r>
        <w:rPr>
          <w:rFonts w:hint="eastAsia"/>
          <w:lang w:val="en-US" w:eastAsia="zh-CN"/>
        </w:rPr>
        <w:t>39.23</w:t>
      </w:r>
      <w:r>
        <w:t>%，</w:t>
      </w:r>
      <w:r>
        <w:rPr>
          <w:lang w:val="zh-CN"/>
        </w:rPr>
        <w:t>满足水保方案制定的</w:t>
      </w:r>
      <w:r>
        <w:rPr>
          <w:rFonts w:hint="eastAsia"/>
          <w:lang w:val="en-US" w:eastAsia="zh-CN"/>
        </w:rPr>
        <w:t>26</w:t>
      </w:r>
      <w:r>
        <w:rPr>
          <w:lang w:val="zh-CN"/>
        </w:rPr>
        <w:t>%的目标值</w:t>
      </w:r>
      <w:r>
        <w:t>，林草覆盖率计算详见下表。</w:t>
      </w:r>
    </w:p>
    <w:p>
      <w:pPr>
        <w:pStyle w:val="57"/>
        <w:spacing w:before="120"/>
        <w:rPr>
          <w:color w:val="auto"/>
        </w:rPr>
      </w:pPr>
      <w:r>
        <w:rPr>
          <w:color w:val="auto"/>
        </w:rPr>
        <w:t>各防治分区林草覆盖率一览表</w:t>
      </w:r>
    </w:p>
    <w:p>
      <w:pPr>
        <w:pStyle w:val="13"/>
      </w:pPr>
      <w:r>
        <w:t>表</w:t>
      </w:r>
      <w:r>
        <w:rPr>
          <w:vertAlign w:val="superscript"/>
        </w:rPr>
        <w:t xml:space="preserve"> </w:t>
      </w:r>
      <w:r>
        <w:fldChar w:fldCharType="begin"/>
      </w:r>
      <w:r>
        <w:instrText xml:space="preserve"> STYLEREF 2 \s </w:instrText>
      </w:r>
      <w:r>
        <w:fldChar w:fldCharType="separate"/>
      </w:r>
      <w:r>
        <w:t>5.2</w:t>
      </w:r>
      <w:r>
        <w:fldChar w:fldCharType="end"/>
      </w:r>
      <w:r>
        <w:noBreakHyphen/>
      </w:r>
      <w:r>
        <w:fldChar w:fldCharType="begin"/>
      </w:r>
      <w:r>
        <w:instrText xml:space="preserve"> SEQ 表 \* ARABIC \s 2 </w:instrText>
      </w:r>
      <w:r>
        <w:fldChar w:fldCharType="separate"/>
      </w:r>
      <w:r>
        <w:t>6</w:t>
      </w:r>
      <w:r>
        <w:fldChar w:fldCharType="end"/>
      </w:r>
    </w:p>
    <w:tbl>
      <w:tblPr>
        <w:tblStyle w:val="32"/>
        <w:tblW w:w="8328" w:type="dxa"/>
        <w:tblInd w:w="0" w:type="dxa"/>
        <w:tblLayout w:type="fixed"/>
        <w:tblCellMar>
          <w:top w:w="0" w:type="dxa"/>
          <w:left w:w="11" w:type="dxa"/>
          <w:bottom w:w="0" w:type="dxa"/>
          <w:right w:w="11" w:type="dxa"/>
        </w:tblCellMar>
      </w:tblPr>
      <w:tblGrid>
        <w:gridCol w:w="2430"/>
        <w:gridCol w:w="746"/>
        <w:gridCol w:w="1228"/>
        <w:gridCol w:w="1467"/>
        <w:gridCol w:w="1315"/>
        <w:gridCol w:w="1142"/>
      </w:tblGrid>
      <w:tr>
        <w:tblPrEx>
          <w:tblCellMar>
            <w:top w:w="0" w:type="dxa"/>
            <w:left w:w="11" w:type="dxa"/>
            <w:bottom w:w="0" w:type="dxa"/>
            <w:right w:w="11" w:type="dxa"/>
          </w:tblCellMar>
        </w:tblPrEx>
        <w:trPr>
          <w:trHeight w:val="340" w:hRule="atLeast"/>
        </w:trPr>
        <w:tc>
          <w:tcPr>
            <w:tcW w:w="24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bookmarkStart w:id="159" w:name="_Toc515873351"/>
            <w:r>
              <w:rPr>
                <w:rFonts w:cs="Times New Roman"/>
                <w:color w:val="auto"/>
              </w:rPr>
              <w:t>项目分区</w:t>
            </w:r>
          </w:p>
        </w:tc>
        <w:tc>
          <w:tcPr>
            <w:tcW w:w="746" w:type="dxa"/>
            <w:tcBorders>
              <w:top w:val="single" w:color="auto" w:sz="4" w:space="0"/>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总面积</w:t>
            </w:r>
          </w:p>
        </w:tc>
        <w:tc>
          <w:tcPr>
            <w:tcW w:w="1228" w:type="dxa"/>
            <w:tcBorders>
              <w:top w:val="single" w:color="auto" w:sz="4" w:space="0"/>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可绿化面积</w:t>
            </w:r>
          </w:p>
        </w:tc>
        <w:tc>
          <w:tcPr>
            <w:tcW w:w="1467" w:type="dxa"/>
            <w:tcBorders>
              <w:top w:val="single" w:color="auto" w:sz="4" w:space="0"/>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植物措施面积</w:t>
            </w:r>
          </w:p>
        </w:tc>
        <w:tc>
          <w:tcPr>
            <w:tcW w:w="1315" w:type="dxa"/>
            <w:tcBorders>
              <w:top w:val="single" w:color="auto" w:sz="4" w:space="0"/>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hint="eastAsia" w:ascii="Times New Roman" w:hAnsi="Times New Roman" w:eastAsia="仿宋_GB2312" w:cs="Times New Roman"/>
                <w:kern w:val="2"/>
                <w:sz w:val="21"/>
                <w:szCs w:val="18"/>
                <w:lang w:val="en-US" w:eastAsia="zh-CN" w:bidi="ar"/>
              </w:rPr>
              <w:t>目前效果较好面积</w:t>
            </w:r>
          </w:p>
        </w:tc>
        <w:tc>
          <w:tcPr>
            <w:tcW w:w="1142" w:type="dxa"/>
            <w:tcBorders>
              <w:top w:val="single" w:color="auto" w:sz="4" w:space="0"/>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林草覆盖率</w:t>
            </w:r>
          </w:p>
        </w:tc>
      </w:tr>
      <w:tr>
        <w:tblPrEx>
          <w:tblCellMar>
            <w:top w:w="0" w:type="dxa"/>
            <w:left w:w="11" w:type="dxa"/>
            <w:bottom w:w="0" w:type="dxa"/>
            <w:right w:w="11" w:type="dxa"/>
          </w:tblCellMar>
        </w:tblPrEx>
        <w:trPr>
          <w:trHeight w:val="340" w:hRule="atLeast"/>
        </w:trPr>
        <w:tc>
          <w:tcPr>
            <w:tcW w:w="2430" w:type="dxa"/>
            <w:vMerge w:val="continue"/>
            <w:tcBorders>
              <w:top w:val="single" w:color="auto" w:sz="4" w:space="0"/>
              <w:left w:val="single" w:color="auto" w:sz="4" w:space="0"/>
              <w:bottom w:val="single" w:color="auto" w:sz="4" w:space="0"/>
              <w:right w:val="single" w:color="auto" w:sz="4" w:space="0"/>
            </w:tcBorders>
            <w:vAlign w:val="center"/>
          </w:tcPr>
          <w:p>
            <w:pPr>
              <w:pStyle w:val="52"/>
              <w:keepNext w:val="0"/>
              <w:keepLines w:val="0"/>
              <w:widowControl/>
              <w:suppressLineNumbers w:val="0"/>
              <w:spacing w:before="0" w:beforeAutospacing="0" w:after="0" w:afterAutospacing="0"/>
              <w:ind w:left="0" w:right="0"/>
              <w:rPr>
                <w:rFonts w:cs="Times New Roman"/>
                <w:color w:val="auto"/>
              </w:rPr>
            </w:pPr>
          </w:p>
        </w:tc>
        <w:tc>
          <w:tcPr>
            <w:tcW w:w="4756" w:type="dxa"/>
            <w:gridSpan w:val="4"/>
            <w:tcBorders>
              <w:top w:val="single" w:color="auto" w:sz="4" w:space="0"/>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单位：hm</w:t>
            </w:r>
            <w:r>
              <w:rPr>
                <w:rFonts w:cs="Times New Roman"/>
                <w:color w:val="auto"/>
                <w:vertAlign w:val="superscript"/>
              </w:rPr>
              <w:t>2</w:t>
            </w:r>
          </w:p>
        </w:tc>
        <w:tc>
          <w:tcPr>
            <w:tcW w:w="1142"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w:t>
            </w:r>
          </w:p>
        </w:tc>
      </w:tr>
      <w:tr>
        <w:tblPrEx>
          <w:tblCellMar>
            <w:top w:w="0" w:type="dxa"/>
            <w:left w:w="11" w:type="dxa"/>
            <w:bottom w:w="0" w:type="dxa"/>
            <w:right w:w="11" w:type="dxa"/>
          </w:tblCellMar>
        </w:tblPrEx>
        <w:trPr>
          <w:trHeight w:val="340" w:hRule="atLeast"/>
        </w:trPr>
        <w:tc>
          <w:tcPr>
            <w:tcW w:w="2430"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Ansi="宋体" w:cs="宋体"/>
                <w:color w:val="auto"/>
              </w:rPr>
            </w:pPr>
            <w:r>
              <w:rPr>
                <w:rFonts w:hint="eastAsia"/>
                <w:color w:val="auto"/>
              </w:rPr>
              <w:t>变电站工程区</w:t>
            </w:r>
          </w:p>
        </w:tc>
        <w:tc>
          <w:tcPr>
            <w:tcW w:w="746"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color w:val="auto"/>
              </w:rPr>
            </w:pPr>
            <w:r>
              <w:rPr>
                <w:rFonts w:hint="eastAsia" w:eastAsia="宋体"/>
                <w:color w:val="auto"/>
              </w:rPr>
              <w:t>0.</w:t>
            </w:r>
            <w:r>
              <w:rPr>
                <w:rFonts w:hint="eastAsia" w:eastAsia="宋体"/>
                <w:color w:val="auto"/>
                <w:lang w:val="en-US" w:eastAsia="zh-CN"/>
              </w:rPr>
              <w:t>15</w:t>
            </w:r>
          </w:p>
        </w:tc>
        <w:tc>
          <w:tcPr>
            <w:tcW w:w="1228"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color w:val="auto"/>
              </w:rPr>
            </w:pPr>
            <w:r>
              <w:rPr>
                <w:rFonts w:hint="eastAsia" w:eastAsia="宋体"/>
                <w:color w:val="auto"/>
                <w:lang w:val="en-US" w:eastAsia="zh-CN"/>
              </w:rPr>
              <w:t>0.02</w:t>
            </w:r>
          </w:p>
        </w:tc>
        <w:tc>
          <w:tcPr>
            <w:tcW w:w="1467"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color w:val="auto"/>
              </w:rPr>
            </w:pPr>
            <w:r>
              <w:rPr>
                <w:rFonts w:hint="eastAsia" w:eastAsia="宋体"/>
                <w:color w:val="auto"/>
                <w:lang w:val="en-US" w:eastAsia="zh-CN"/>
              </w:rPr>
              <w:t>0.02</w:t>
            </w:r>
          </w:p>
        </w:tc>
        <w:tc>
          <w:tcPr>
            <w:tcW w:w="1315"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hAnsi="宋体" w:cs="宋体"/>
                <w:color w:val="auto"/>
                <w:lang w:val="en-US" w:eastAsia="zh-CN"/>
              </w:rPr>
              <w:t>0.02</w:t>
            </w:r>
          </w:p>
        </w:tc>
        <w:tc>
          <w:tcPr>
            <w:tcW w:w="1142"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eastAsia="宋体"/>
                <w:color w:val="auto"/>
              </w:rPr>
            </w:pPr>
            <w:r>
              <w:rPr>
                <w:rFonts w:hint="eastAsia" w:eastAsia="宋体"/>
                <w:color w:val="auto"/>
                <w:lang w:val="en-US" w:eastAsia="zh-CN"/>
              </w:rPr>
              <w:t>100</w:t>
            </w:r>
            <w:r>
              <w:rPr>
                <w:rFonts w:hint="eastAsia" w:eastAsia="宋体"/>
                <w:color w:val="auto"/>
              </w:rPr>
              <w:t>%</w:t>
            </w:r>
          </w:p>
        </w:tc>
      </w:tr>
      <w:tr>
        <w:tblPrEx>
          <w:tblCellMar>
            <w:top w:w="0" w:type="dxa"/>
            <w:left w:w="11" w:type="dxa"/>
            <w:bottom w:w="0" w:type="dxa"/>
            <w:right w:w="11" w:type="dxa"/>
          </w:tblCellMar>
        </w:tblPrEx>
        <w:trPr>
          <w:trHeight w:val="340" w:hRule="atLeast"/>
        </w:trPr>
        <w:tc>
          <w:tcPr>
            <w:tcW w:w="2430"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Ansi="宋体" w:cs="宋体"/>
                <w:color w:val="auto"/>
              </w:rPr>
            </w:pPr>
            <w:r>
              <w:rPr>
                <w:rFonts w:hint="eastAsia"/>
                <w:color w:val="auto"/>
              </w:rPr>
              <w:t>线路工程区</w:t>
            </w:r>
          </w:p>
        </w:tc>
        <w:tc>
          <w:tcPr>
            <w:tcW w:w="746"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Ansi="宋体" w:cs="宋体"/>
                <w:color w:val="auto"/>
              </w:rPr>
            </w:pPr>
            <w:r>
              <w:rPr>
                <w:rFonts w:hint="eastAsia" w:eastAsia="宋体"/>
                <w:color w:val="auto"/>
                <w:lang w:val="en-US" w:eastAsia="zh-CN"/>
              </w:rPr>
              <w:t>1.66</w:t>
            </w:r>
          </w:p>
        </w:tc>
        <w:tc>
          <w:tcPr>
            <w:tcW w:w="1228"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color w:val="auto"/>
              </w:rPr>
            </w:pPr>
            <w:r>
              <w:rPr>
                <w:rFonts w:hint="eastAsia" w:eastAsia="宋体"/>
                <w:color w:val="auto"/>
                <w:lang w:val="en-US" w:eastAsia="zh-CN"/>
              </w:rPr>
              <w:t>1.51</w:t>
            </w:r>
          </w:p>
        </w:tc>
        <w:tc>
          <w:tcPr>
            <w:tcW w:w="1467"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color w:val="auto"/>
              </w:rPr>
            </w:pPr>
            <w:r>
              <w:rPr>
                <w:rFonts w:hint="eastAsia" w:eastAsia="宋体"/>
                <w:color w:val="auto"/>
                <w:lang w:val="en-US" w:eastAsia="zh-CN"/>
              </w:rPr>
              <w:t>1.50</w:t>
            </w:r>
          </w:p>
        </w:tc>
        <w:tc>
          <w:tcPr>
            <w:tcW w:w="1315"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hAnsi="宋体" w:cs="宋体"/>
                <w:color w:val="auto"/>
              </w:rPr>
              <w:t>0.</w:t>
            </w:r>
            <w:r>
              <w:rPr>
                <w:rFonts w:hint="eastAsia" w:hAnsi="宋体" w:cs="宋体"/>
                <w:color w:val="auto"/>
                <w:lang w:val="en-US" w:eastAsia="zh-CN"/>
              </w:rPr>
              <w:t>69</w:t>
            </w:r>
          </w:p>
        </w:tc>
        <w:tc>
          <w:tcPr>
            <w:tcW w:w="1142"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lang w:val="en-US" w:eastAsia="zh-CN"/>
              </w:rPr>
              <w:t>41.57</w:t>
            </w:r>
            <w:r>
              <w:rPr>
                <w:rFonts w:hint="eastAsia"/>
                <w:color w:val="auto"/>
              </w:rPr>
              <w:t>%</w:t>
            </w:r>
          </w:p>
        </w:tc>
      </w:tr>
      <w:tr>
        <w:tblPrEx>
          <w:tblCellMar>
            <w:top w:w="0" w:type="dxa"/>
            <w:left w:w="11" w:type="dxa"/>
            <w:bottom w:w="0" w:type="dxa"/>
            <w:right w:w="11" w:type="dxa"/>
          </w:tblCellMar>
        </w:tblPrEx>
        <w:trPr>
          <w:trHeight w:val="340" w:hRule="atLeast"/>
        </w:trPr>
        <w:tc>
          <w:tcPr>
            <w:tcW w:w="2430"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Ansi="宋体" w:cs="宋体"/>
                <w:color w:val="auto"/>
              </w:rPr>
            </w:pPr>
            <w:r>
              <w:rPr>
                <w:rFonts w:hint="eastAsia"/>
                <w:color w:val="auto"/>
              </w:rPr>
              <w:t>合计</w:t>
            </w:r>
          </w:p>
        </w:tc>
        <w:tc>
          <w:tcPr>
            <w:tcW w:w="746"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int="eastAsia" w:eastAsia="仿宋_GB2312" w:cs="Times New Roman"/>
                <w:color w:val="auto"/>
                <w:lang w:eastAsia="zh-CN"/>
              </w:rPr>
            </w:pPr>
            <w:r>
              <w:rPr>
                <w:rFonts w:hint="eastAsia" w:eastAsia="宋体"/>
                <w:color w:val="auto"/>
                <w:lang w:eastAsia="zh-CN"/>
              </w:rPr>
              <w:t>1.81</w:t>
            </w:r>
          </w:p>
        </w:tc>
        <w:tc>
          <w:tcPr>
            <w:tcW w:w="1228"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cs="Times New Roman"/>
                <w:color w:val="auto"/>
              </w:rPr>
            </w:pPr>
            <w:r>
              <w:rPr>
                <w:rFonts w:hint="eastAsia" w:eastAsia="宋体"/>
                <w:color w:val="auto"/>
                <w:lang w:val="en-US" w:eastAsia="zh-CN"/>
              </w:rPr>
              <w:t>1.53</w:t>
            </w:r>
          </w:p>
        </w:tc>
        <w:tc>
          <w:tcPr>
            <w:tcW w:w="1467"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hAnsi="宋体" w:cs="宋体"/>
                <w:color w:val="auto"/>
              </w:rPr>
            </w:pPr>
            <w:r>
              <w:rPr>
                <w:rFonts w:hint="eastAsia" w:eastAsia="宋体"/>
                <w:color w:val="auto"/>
                <w:lang w:val="en-US" w:eastAsia="zh-CN"/>
              </w:rPr>
              <w:t>1.52</w:t>
            </w:r>
          </w:p>
        </w:tc>
        <w:tc>
          <w:tcPr>
            <w:tcW w:w="1315"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hAnsi="宋体" w:cs="宋体"/>
                <w:color w:val="auto"/>
                <w:lang w:val="en-US" w:eastAsia="zh-CN"/>
              </w:rPr>
              <w:t>0.71</w:t>
            </w:r>
          </w:p>
        </w:tc>
        <w:tc>
          <w:tcPr>
            <w:tcW w:w="1142"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lang w:val="en-US" w:eastAsia="zh-CN"/>
              </w:rPr>
              <w:t>39.23</w:t>
            </w:r>
            <w:r>
              <w:rPr>
                <w:rFonts w:hint="eastAsia"/>
                <w:color w:val="auto"/>
              </w:rPr>
              <w:t>%</w:t>
            </w:r>
          </w:p>
        </w:tc>
      </w:tr>
    </w:tbl>
    <w:p>
      <w:pPr>
        <w:pStyle w:val="4"/>
        <w:spacing w:before="120"/>
      </w:pPr>
      <w:r>
        <w:t>公众满意程度</w:t>
      </w:r>
      <w:bookmarkEnd w:id="159"/>
    </w:p>
    <w:p>
      <w:pPr>
        <w:spacing w:before="120"/>
        <w:ind w:firstLine="480"/>
      </w:pPr>
      <w:r>
        <w:t>根据水土保持设施验收工作的有关规定和要求，在验收工作过程中，报告编制组共向项目周边群众发放</w:t>
      </w:r>
      <w:r>
        <w:rPr>
          <w:rFonts w:hint="eastAsia"/>
        </w:rPr>
        <w:t>30</w:t>
      </w:r>
      <w:r>
        <w:t>张调查表，收回有效调查表</w:t>
      </w:r>
      <w:r>
        <w:rPr>
          <w:rFonts w:hint="eastAsia"/>
        </w:rPr>
        <w:t>29</w:t>
      </w:r>
      <w:r>
        <w:t>张。通过抽样进行民意调查，目的在于了解</w:t>
      </w:r>
      <w:r>
        <w:rPr>
          <w:rFonts w:hint="eastAsia"/>
          <w:lang w:eastAsia="zh-CN"/>
        </w:rPr>
        <w:t>甘孜雅江柯拉35千伏输变电工程</w:t>
      </w:r>
      <w:r>
        <w:t>水土保持及水土保持设施对当地经济和自然环境所产生的影响及民众的反响，以作为本次验收工作的参考。调查对象包括农民、工人、学生、经商者、市民等。被调查者中20-30岁</w:t>
      </w:r>
      <w:r>
        <w:rPr>
          <w:rFonts w:hint="eastAsia"/>
        </w:rPr>
        <w:t>10</w:t>
      </w:r>
      <w:r>
        <w:t>人、30-50岁</w:t>
      </w:r>
      <w:r>
        <w:rPr>
          <w:rFonts w:hint="eastAsia"/>
        </w:rPr>
        <w:t>16</w:t>
      </w:r>
      <w:r>
        <w:t>人，50岁以上</w:t>
      </w:r>
      <w:r>
        <w:rPr>
          <w:rFonts w:hint="eastAsia"/>
        </w:rPr>
        <w:t>3</w:t>
      </w:r>
      <w:r>
        <w:t>人。其中男性</w:t>
      </w:r>
      <w:r>
        <w:rPr>
          <w:rFonts w:hint="eastAsia"/>
        </w:rPr>
        <w:t>21</w:t>
      </w:r>
      <w:r>
        <w:t>人，女性</w:t>
      </w:r>
      <w:r>
        <w:rPr>
          <w:rFonts w:hint="eastAsia"/>
        </w:rPr>
        <w:t>8</w:t>
      </w:r>
      <w:r>
        <w:t>人。报告编制组以此作为本次验收工作的参考，为今后的水土保持工作落实提供依据，公众满意度调查统计情况见下表。</w:t>
      </w:r>
    </w:p>
    <w:p>
      <w:pPr>
        <w:pStyle w:val="57"/>
        <w:spacing w:before="120"/>
        <w:rPr>
          <w:color w:val="auto"/>
        </w:rPr>
      </w:pPr>
      <w:r>
        <w:rPr>
          <w:color w:val="auto"/>
        </w:rPr>
        <w:t>项目水土保持公众调查统计表</w:t>
      </w:r>
    </w:p>
    <w:p>
      <w:pPr>
        <w:pStyle w:val="13"/>
      </w:pPr>
      <w:r>
        <w:t>表</w:t>
      </w:r>
      <w:r>
        <w:rPr>
          <w:vertAlign w:val="superscript"/>
        </w:rPr>
        <w:t xml:space="preserve"> </w:t>
      </w:r>
      <w:r>
        <w:fldChar w:fldCharType="begin"/>
      </w:r>
      <w:r>
        <w:instrText xml:space="preserve"> STYLEREF 2 \s </w:instrText>
      </w:r>
      <w:r>
        <w:fldChar w:fldCharType="separate"/>
      </w:r>
      <w:r>
        <w:t>5.2</w:t>
      </w:r>
      <w:r>
        <w:fldChar w:fldCharType="end"/>
      </w:r>
      <w:r>
        <w:noBreakHyphen/>
      </w:r>
      <w:r>
        <w:fldChar w:fldCharType="begin"/>
      </w:r>
      <w:r>
        <w:instrText xml:space="preserve"> SEQ 表 \* ARABIC \s 2 </w:instrText>
      </w:r>
      <w:r>
        <w:fldChar w:fldCharType="separate"/>
      </w:r>
      <w:r>
        <w:t>7</w:t>
      </w:r>
      <w:r>
        <w:fldChar w:fldCharType="end"/>
      </w:r>
    </w:p>
    <w:tbl>
      <w:tblPr>
        <w:tblStyle w:val="32"/>
        <w:tblW w:w="8328" w:type="dxa"/>
        <w:tblInd w:w="0" w:type="dxa"/>
        <w:tblLayout w:type="fixed"/>
        <w:tblCellMar>
          <w:top w:w="0" w:type="dxa"/>
          <w:left w:w="11" w:type="dxa"/>
          <w:bottom w:w="0" w:type="dxa"/>
          <w:right w:w="11" w:type="dxa"/>
        </w:tblCellMar>
      </w:tblPr>
      <w:tblGrid>
        <w:gridCol w:w="1938"/>
        <w:gridCol w:w="523"/>
        <w:gridCol w:w="984"/>
        <w:gridCol w:w="263"/>
        <w:gridCol w:w="263"/>
        <w:gridCol w:w="984"/>
        <w:gridCol w:w="583"/>
        <w:gridCol w:w="585"/>
        <w:gridCol w:w="525"/>
        <w:gridCol w:w="421"/>
        <w:gridCol w:w="418"/>
        <w:gridCol w:w="841"/>
      </w:tblGrid>
      <w:tr>
        <w:tblPrEx>
          <w:tblCellMar>
            <w:top w:w="0" w:type="dxa"/>
            <w:left w:w="11" w:type="dxa"/>
            <w:bottom w:w="0" w:type="dxa"/>
            <w:right w:w="11" w:type="dxa"/>
          </w:tblCellMar>
        </w:tblPrEx>
        <w:trPr>
          <w:trHeight w:val="340" w:hRule="atLeast"/>
        </w:trPr>
        <w:tc>
          <w:tcPr>
            <w:tcW w:w="24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调查年龄段</w:t>
            </w:r>
          </w:p>
        </w:tc>
        <w:tc>
          <w:tcPr>
            <w:tcW w:w="124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kern w:val="0"/>
                <w:sz w:val="20"/>
                <w:szCs w:val="21"/>
              </w:rPr>
              <w:t>20-30</w:t>
            </w:r>
            <w:r>
              <w:rPr>
                <w:rFonts w:hint="eastAsia"/>
                <w:kern w:val="0"/>
                <w:sz w:val="20"/>
                <w:szCs w:val="21"/>
              </w:rPr>
              <w:t>岁</w:t>
            </w:r>
          </w:p>
        </w:tc>
        <w:tc>
          <w:tcPr>
            <w:tcW w:w="124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kern w:val="0"/>
                <w:sz w:val="20"/>
                <w:szCs w:val="21"/>
              </w:rPr>
              <w:t>30-50</w:t>
            </w:r>
            <w:r>
              <w:rPr>
                <w:rFonts w:hint="eastAsia"/>
                <w:kern w:val="0"/>
                <w:sz w:val="20"/>
                <w:szCs w:val="21"/>
              </w:rPr>
              <w:t>岁</w:t>
            </w:r>
          </w:p>
        </w:tc>
        <w:tc>
          <w:tcPr>
            <w:tcW w:w="116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kern w:val="0"/>
                <w:sz w:val="20"/>
                <w:szCs w:val="21"/>
              </w:rPr>
              <w:t>50</w:t>
            </w:r>
            <w:r>
              <w:rPr>
                <w:rFonts w:hint="eastAsia"/>
                <w:kern w:val="0"/>
                <w:sz w:val="20"/>
                <w:szCs w:val="21"/>
              </w:rPr>
              <w:t>岁以上</w:t>
            </w:r>
          </w:p>
        </w:tc>
        <w:tc>
          <w:tcPr>
            <w:tcW w:w="94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男</w:t>
            </w:r>
          </w:p>
        </w:tc>
        <w:tc>
          <w:tcPr>
            <w:tcW w:w="1259"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女</w:t>
            </w:r>
          </w:p>
        </w:tc>
      </w:tr>
      <w:tr>
        <w:tblPrEx>
          <w:tblCellMar>
            <w:top w:w="0" w:type="dxa"/>
            <w:left w:w="11" w:type="dxa"/>
            <w:bottom w:w="0" w:type="dxa"/>
            <w:right w:w="11" w:type="dxa"/>
          </w:tblCellMar>
        </w:tblPrEx>
        <w:trPr>
          <w:trHeight w:val="340" w:hRule="atLeast"/>
        </w:trPr>
        <w:tc>
          <w:tcPr>
            <w:tcW w:w="193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调查总数</w:t>
            </w:r>
          </w:p>
        </w:tc>
        <w:tc>
          <w:tcPr>
            <w:tcW w:w="52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29</w:t>
            </w:r>
          </w:p>
        </w:tc>
        <w:tc>
          <w:tcPr>
            <w:tcW w:w="124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kern w:val="0"/>
                <w:sz w:val="20"/>
                <w:szCs w:val="21"/>
              </w:rPr>
              <w:t>10</w:t>
            </w:r>
          </w:p>
        </w:tc>
        <w:tc>
          <w:tcPr>
            <w:tcW w:w="124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16</w:t>
            </w:r>
          </w:p>
        </w:tc>
        <w:tc>
          <w:tcPr>
            <w:tcW w:w="116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3</w:t>
            </w:r>
          </w:p>
        </w:tc>
        <w:tc>
          <w:tcPr>
            <w:tcW w:w="94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kern w:val="0"/>
                <w:sz w:val="20"/>
                <w:szCs w:val="21"/>
              </w:rPr>
              <w:t>2</w:t>
            </w:r>
            <w:r>
              <w:rPr>
                <w:rFonts w:hint="eastAsia"/>
                <w:kern w:val="0"/>
                <w:sz w:val="20"/>
                <w:szCs w:val="21"/>
              </w:rPr>
              <w:t>1</w:t>
            </w:r>
          </w:p>
        </w:tc>
        <w:tc>
          <w:tcPr>
            <w:tcW w:w="1259"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kern w:val="0"/>
                <w:sz w:val="20"/>
                <w:szCs w:val="21"/>
              </w:rPr>
              <w:t>8</w:t>
            </w:r>
          </w:p>
        </w:tc>
      </w:tr>
      <w:tr>
        <w:tblPrEx>
          <w:tblCellMar>
            <w:top w:w="0" w:type="dxa"/>
            <w:left w:w="11" w:type="dxa"/>
            <w:bottom w:w="0" w:type="dxa"/>
            <w:right w:w="11" w:type="dxa"/>
          </w:tblCellMar>
        </w:tblPrEx>
        <w:trPr>
          <w:trHeight w:val="340" w:hRule="atLeast"/>
        </w:trPr>
        <w:tc>
          <w:tcPr>
            <w:tcW w:w="24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职</w:t>
            </w:r>
            <w:r>
              <w:rPr>
                <w:kern w:val="0"/>
                <w:sz w:val="20"/>
                <w:szCs w:val="21"/>
                <w:vertAlign w:val="superscript"/>
              </w:rPr>
              <w:t xml:space="preserve"> </w:t>
            </w:r>
            <w:r>
              <w:rPr>
                <w:rFonts w:hint="eastAsia"/>
                <w:kern w:val="0"/>
                <w:sz w:val="20"/>
                <w:szCs w:val="21"/>
              </w:rPr>
              <w:t>业</w:t>
            </w:r>
          </w:p>
        </w:tc>
        <w:tc>
          <w:tcPr>
            <w:tcW w:w="151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农民</w:t>
            </w:r>
          </w:p>
        </w:tc>
        <w:tc>
          <w:tcPr>
            <w:tcW w:w="156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居民</w:t>
            </w:r>
          </w:p>
        </w:tc>
        <w:tc>
          <w:tcPr>
            <w:tcW w:w="111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学生</w:t>
            </w:r>
          </w:p>
        </w:tc>
        <w:tc>
          <w:tcPr>
            <w:tcW w:w="168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经商者</w:t>
            </w:r>
          </w:p>
        </w:tc>
      </w:tr>
      <w:tr>
        <w:tblPrEx>
          <w:tblCellMar>
            <w:top w:w="0" w:type="dxa"/>
            <w:left w:w="11" w:type="dxa"/>
            <w:bottom w:w="0" w:type="dxa"/>
            <w:right w:w="11" w:type="dxa"/>
          </w:tblCellMar>
        </w:tblPrEx>
        <w:trPr>
          <w:trHeight w:val="340" w:hRule="atLeast"/>
        </w:trPr>
        <w:tc>
          <w:tcPr>
            <w:tcW w:w="24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人</w:t>
            </w:r>
            <w:r>
              <w:rPr>
                <w:kern w:val="0"/>
                <w:sz w:val="20"/>
                <w:szCs w:val="21"/>
                <w:vertAlign w:val="superscript"/>
              </w:rPr>
              <w:t xml:space="preserve"> </w:t>
            </w:r>
            <w:r>
              <w:rPr>
                <w:rFonts w:hint="eastAsia"/>
                <w:kern w:val="0"/>
                <w:sz w:val="20"/>
                <w:szCs w:val="21"/>
              </w:rPr>
              <w:t>数</w:t>
            </w:r>
          </w:p>
        </w:tc>
        <w:tc>
          <w:tcPr>
            <w:tcW w:w="151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17</w:t>
            </w:r>
          </w:p>
        </w:tc>
        <w:tc>
          <w:tcPr>
            <w:tcW w:w="156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5</w:t>
            </w:r>
          </w:p>
        </w:tc>
        <w:tc>
          <w:tcPr>
            <w:tcW w:w="111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4</w:t>
            </w:r>
          </w:p>
        </w:tc>
        <w:tc>
          <w:tcPr>
            <w:tcW w:w="168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3</w:t>
            </w:r>
          </w:p>
        </w:tc>
      </w:tr>
      <w:tr>
        <w:tblPrEx>
          <w:tblCellMar>
            <w:top w:w="0" w:type="dxa"/>
            <w:left w:w="11" w:type="dxa"/>
            <w:bottom w:w="0" w:type="dxa"/>
            <w:right w:w="11" w:type="dxa"/>
          </w:tblCellMar>
        </w:tblPrEx>
        <w:trPr>
          <w:trHeight w:val="340" w:hRule="atLeast"/>
        </w:trPr>
        <w:tc>
          <w:tcPr>
            <w:tcW w:w="246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调查项目</w:t>
            </w:r>
          </w:p>
        </w:tc>
        <w:tc>
          <w:tcPr>
            <w:tcW w:w="5867" w:type="dxa"/>
            <w:gridSpan w:val="10"/>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调查项目评价</w:t>
            </w:r>
          </w:p>
        </w:tc>
      </w:tr>
      <w:tr>
        <w:tblPrEx>
          <w:tblCellMar>
            <w:top w:w="0" w:type="dxa"/>
            <w:left w:w="11" w:type="dxa"/>
            <w:bottom w:w="0" w:type="dxa"/>
            <w:right w:w="11" w:type="dxa"/>
          </w:tblCellMar>
        </w:tblPrEx>
        <w:trPr>
          <w:trHeight w:val="340" w:hRule="atLeast"/>
        </w:trPr>
        <w:tc>
          <w:tcPr>
            <w:tcW w:w="2461"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p>
        </w:tc>
        <w:tc>
          <w:tcPr>
            <w:tcW w:w="9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好</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kern w:val="0"/>
                <w:sz w:val="20"/>
                <w:szCs w:val="21"/>
              </w:rPr>
              <w:t>%</w:t>
            </w:r>
          </w:p>
        </w:tc>
        <w:tc>
          <w:tcPr>
            <w:tcW w:w="9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一般</w:t>
            </w:r>
          </w:p>
        </w:tc>
        <w:tc>
          <w:tcPr>
            <w:tcW w:w="58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kern w:val="0"/>
                <w:sz w:val="20"/>
                <w:szCs w:val="21"/>
              </w:rPr>
              <w:t>%</w:t>
            </w:r>
          </w:p>
        </w:tc>
        <w:tc>
          <w:tcPr>
            <w:tcW w:w="58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差</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kern w:val="0"/>
                <w:sz w:val="20"/>
                <w:szCs w:val="21"/>
              </w:rPr>
              <w:t>%</w:t>
            </w:r>
          </w:p>
        </w:tc>
        <w:tc>
          <w:tcPr>
            <w:tcW w:w="839"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说不清</w:t>
            </w:r>
          </w:p>
        </w:tc>
        <w:tc>
          <w:tcPr>
            <w:tcW w:w="84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kern w:val="0"/>
                <w:sz w:val="20"/>
                <w:szCs w:val="21"/>
              </w:rPr>
              <w:t>%</w:t>
            </w:r>
          </w:p>
        </w:tc>
      </w:tr>
      <w:tr>
        <w:tblPrEx>
          <w:tblCellMar>
            <w:top w:w="0" w:type="dxa"/>
            <w:left w:w="11" w:type="dxa"/>
            <w:bottom w:w="0" w:type="dxa"/>
            <w:right w:w="11" w:type="dxa"/>
          </w:tblCellMar>
        </w:tblPrEx>
        <w:trPr>
          <w:trHeight w:val="340" w:hRule="atLeast"/>
        </w:trPr>
        <w:tc>
          <w:tcPr>
            <w:tcW w:w="24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项目对当地经济影响</w:t>
            </w:r>
          </w:p>
        </w:tc>
        <w:tc>
          <w:tcPr>
            <w:tcW w:w="9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28</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96</w:t>
            </w:r>
            <w:r>
              <w:rPr>
                <w:kern w:val="0"/>
                <w:sz w:val="20"/>
                <w:szCs w:val="21"/>
              </w:rPr>
              <w:t>%</w:t>
            </w:r>
          </w:p>
        </w:tc>
        <w:tc>
          <w:tcPr>
            <w:tcW w:w="9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1</w:t>
            </w:r>
          </w:p>
        </w:tc>
        <w:tc>
          <w:tcPr>
            <w:tcW w:w="583"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4</w:t>
            </w:r>
            <w:r>
              <w:rPr>
                <w:kern w:val="0"/>
                <w:sz w:val="20"/>
                <w:szCs w:val="21"/>
              </w:rPr>
              <w:t>%</w:t>
            </w:r>
          </w:p>
        </w:tc>
        <w:tc>
          <w:tcPr>
            <w:tcW w:w="58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0</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0</w:t>
            </w:r>
          </w:p>
        </w:tc>
        <w:tc>
          <w:tcPr>
            <w:tcW w:w="839"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0</w:t>
            </w:r>
          </w:p>
        </w:tc>
        <w:tc>
          <w:tcPr>
            <w:tcW w:w="84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0</w:t>
            </w:r>
          </w:p>
        </w:tc>
      </w:tr>
      <w:tr>
        <w:tblPrEx>
          <w:tblCellMar>
            <w:top w:w="0" w:type="dxa"/>
            <w:left w:w="11" w:type="dxa"/>
            <w:bottom w:w="0" w:type="dxa"/>
            <w:right w:w="11" w:type="dxa"/>
          </w:tblCellMar>
        </w:tblPrEx>
        <w:trPr>
          <w:trHeight w:val="340" w:hRule="atLeast"/>
        </w:trPr>
        <w:tc>
          <w:tcPr>
            <w:tcW w:w="24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项目对当地环境影响</w:t>
            </w:r>
          </w:p>
        </w:tc>
        <w:tc>
          <w:tcPr>
            <w:tcW w:w="9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24</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80</w:t>
            </w:r>
            <w:r>
              <w:rPr>
                <w:kern w:val="0"/>
                <w:sz w:val="20"/>
                <w:szCs w:val="21"/>
              </w:rPr>
              <w:t>%</w:t>
            </w:r>
          </w:p>
        </w:tc>
        <w:tc>
          <w:tcPr>
            <w:tcW w:w="9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4</w:t>
            </w:r>
          </w:p>
        </w:tc>
        <w:tc>
          <w:tcPr>
            <w:tcW w:w="583"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16</w:t>
            </w:r>
            <w:r>
              <w:rPr>
                <w:kern w:val="0"/>
                <w:sz w:val="20"/>
                <w:szCs w:val="21"/>
              </w:rPr>
              <w:t>%</w:t>
            </w:r>
          </w:p>
        </w:tc>
        <w:tc>
          <w:tcPr>
            <w:tcW w:w="58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0</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0</w:t>
            </w:r>
          </w:p>
        </w:tc>
        <w:tc>
          <w:tcPr>
            <w:tcW w:w="839"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kern w:val="0"/>
                <w:sz w:val="20"/>
                <w:szCs w:val="21"/>
              </w:rPr>
              <w:t>1</w:t>
            </w:r>
          </w:p>
        </w:tc>
        <w:tc>
          <w:tcPr>
            <w:tcW w:w="84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4</w:t>
            </w:r>
            <w:r>
              <w:rPr>
                <w:kern w:val="0"/>
                <w:sz w:val="20"/>
                <w:szCs w:val="21"/>
              </w:rPr>
              <w:t>%</w:t>
            </w:r>
          </w:p>
        </w:tc>
      </w:tr>
      <w:tr>
        <w:tblPrEx>
          <w:tblCellMar>
            <w:top w:w="0" w:type="dxa"/>
            <w:left w:w="11" w:type="dxa"/>
            <w:bottom w:w="0" w:type="dxa"/>
            <w:right w:w="11" w:type="dxa"/>
          </w:tblCellMar>
        </w:tblPrEx>
        <w:trPr>
          <w:trHeight w:val="340" w:hRule="atLeast"/>
        </w:trPr>
        <w:tc>
          <w:tcPr>
            <w:tcW w:w="24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不影响农业生产活动</w:t>
            </w:r>
          </w:p>
        </w:tc>
        <w:tc>
          <w:tcPr>
            <w:tcW w:w="9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28</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96</w:t>
            </w:r>
            <w:r>
              <w:rPr>
                <w:kern w:val="0"/>
                <w:sz w:val="20"/>
                <w:szCs w:val="21"/>
              </w:rPr>
              <w:t>%</w:t>
            </w:r>
          </w:p>
        </w:tc>
        <w:tc>
          <w:tcPr>
            <w:tcW w:w="9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0</w:t>
            </w:r>
          </w:p>
        </w:tc>
        <w:tc>
          <w:tcPr>
            <w:tcW w:w="583"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0</w:t>
            </w:r>
          </w:p>
        </w:tc>
        <w:tc>
          <w:tcPr>
            <w:tcW w:w="58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0</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0</w:t>
            </w:r>
          </w:p>
        </w:tc>
        <w:tc>
          <w:tcPr>
            <w:tcW w:w="839"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1</w:t>
            </w:r>
          </w:p>
        </w:tc>
        <w:tc>
          <w:tcPr>
            <w:tcW w:w="84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4</w:t>
            </w:r>
            <w:r>
              <w:rPr>
                <w:kern w:val="0"/>
                <w:sz w:val="20"/>
                <w:szCs w:val="21"/>
              </w:rPr>
              <w:t>%</w:t>
            </w:r>
          </w:p>
        </w:tc>
      </w:tr>
      <w:tr>
        <w:tblPrEx>
          <w:tblCellMar>
            <w:top w:w="0" w:type="dxa"/>
            <w:left w:w="11" w:type="dxa"/>
            <w:bottom w:w="0" w:type="dxa"/>
            <w:right w:w="11" w:type="dxa"/>
          </w:tblCellMar>
        </w:tblPrEx>
        <w:trPr>
          <w:trHeight w:val="340" w:hRule="atLeast"/>
        </w:trPr>
        <w:tc>
          <w:tcPr>
            <w:tcW w:w="24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项目林草植被建设</w:t>
            </w:r>
          </w:p>
        </w:tc>
        <w:tc>
          <w:tcPr>
            <w:tcW w:w="9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24</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80</w:t>
            </w:r>
            <w:r>
              <w:rPr>
                <w:kern w:val="0"/>
                <w:sz w:val="20"/>
                <w:szCs w:val="21"/>
              </w:rPr>
              <w:t>%</w:t>
            </w:r>
          </w:p>
        </w:tc>
        <w:tc>
          <w:tcPr>
            <w:tcW w:w="9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3</w:t>
            </w:r>
          </w:p>
        </w:tc>
        <w:tc>
          <w:tcPr>
            <w:tcW w:w="583"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12</w:t>
            </w:r>
            <w:r>
              <w:rPr>
                <w:kern w:val="0"/>
                <w:sz w:val="20"/>
                <w:szCs w:val="21"/>
              </w:rPr>
              <w:t>%</w:t>
            </w:r>
          </w:p>
        </w:tc>
        <w:tc>
          <w:tcPr>
            <w:tcW w:w="58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1</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4</w:t>
            </w:r>
            <w:r>
              <w:rPr>
                <w:kern w:val="0"/>
                <w:sz w:val="20"/>
                <w:szCs w:val="21"/>
              </w:rPr>
              <w:t>%</w:t>
            </w:r>
          </w:p>
        </w:tc>
        <w:tc>
          <w:tcPr>
            <w:tcW w:w="839"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kern w:val="0"/>
                <w:sz w:val="20"/>
                <w:szCs w:val="21"/>
              </w:rPr>
              <w:t>1</w:t>
            </w:r>
          </w:p>
        </w:tc>
        <w:tc>
          <w:tcPr>
            <w:tcW w:w="84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4</w:t>
            </w:r>
            <w:r>
              <w:rPr>
                <w:kern w:val="0"/>
                <w:sz w:val="20"/>
                <w:szCs w:val="21"/>
              </w:rPr>
              <w:t>%</w:t>
            </w:r>
          </w:p>
        </w:tc>
      </w:tr>
      <w:tr>
        <w:tblPrEx>
          <w:tblCellMar>
            <w:top w:w="0" w:type="dxa"/>
            <w:left w:w="11" w:type="dxa"/>
            <w:bottom w:w="0" w:type="dxa"/>
            <w:right w:w="11" w:type="dxa"/>
          </w:tblCellMar>
        </w:tblPrEx>
        <w:trPr>
          <w:trHeight w:val="340" w:hRule="atLeast"/>
        </w:trPr>
        <w:tc>
          <w:tcPr>
            <w:tcW w:w="24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土地恢复情况</w:t>
            </w:r>
          </w:p>
        </w:tc>
        <w:tc>
          <w:tcPr>
            <w:tcW w:w="9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26</w:t>
            </w:r>
          </w:p>
        </w:tc>
        <w:tc>
          <w:tcPr>
            <w:tcW w:w="52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88</w:t>
            </w:r>
            <w:r>
              <w:rPr>
                <w:kern w:val="0"/>
                <w:sz w:val="20"/>
                <w:szCs w:val="21"/>
              </w:rPr>
              <w:t>%</w:t>
            </w:r>
          </w:p>
        </w:tc>
        <w:tc>
          <w:tcPr>
            <w:tcW w:w="9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2</w:t>
            </w:r>
          </w:p>
        </w:tc>
        <w:tc>
          <w:tcPr>
            <w:tcW w:w="583"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8</w:t>
            </w:r>
            <w:r>
              <w:rPr>
                <w:kern w:val="0"/>
                <w:sz w:val="20"/>
                <w:szCs w:val="21"/>
              </w:rPr>
              <w:t>%</w:t>
            </w:r>
          </w:p>
        </w:tc>
        <w:tc>
          <w:tcPr>
            <w:tcW w:w="58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1</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4</w:t>
            </w:r>
            <w:r>
              <w:rPr>
                <w:kern w:val="0"/>
                <w:sz w:val="20"/>
                <w:szCs w:val="21"/>
              </w:rPr>
              <w:t>%</w:t>
            </w:r>
          </w:p>
        </w:tc>
        <w:tc>
          <w:tcPr>
            <w:tcW w:w="839"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0</w:t>
            </w:r>
          </w:p>
        </w:tc>
        <w:tc>
          <w:tcPr>
            <w:tcW w:w="84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adjustRightInd/>
              <w:snapToGrid/>
              <w:spacing w:before="0" w:beforeLines="0" w:beforeAutospacing="0" w:after="0" w:afterAutospacing="0" w:line="240" w:lineRule="exact"/>
              <w:ind w:left="0" w:right="0" w:firstLine="0" w:firstLineChars="0"/>
              <w:jc w:val="center"/>
              <w:rPr>
                <w:kern w:val="0"/>
                <w:sz w:val="20"/>
                <w:szCs w:val="21"/>
              </w:rPr>
            </w:pPr>
            <w:r>
              <w:rPr>
                <w:rFonts w:hint="eastAsia"/>
                <w:kern w:val="0"/>
                <w:sz w:val="20"/>
                <w:szCs w:val="21"/>
              </w:rPr>
              <w:t>0</w:t>
            </w:r>
          </w:p>
        </w:tc>
      </w:tr>
    </w:tbl>
    <w:p>
      <w:pPr>
        <w:spacing w:beforeLines="0"/>
        <w:ind w:firstLine="480"/>
      </w:pPr>
      <w:r>
        <w:t>在被调查者人中，</w:t>
      </w:r>
      <w:r>
        <w:rPr>
          <w:rFonts w:hint="eastAsia"/>
        </w:rPr>
        <w:t>96</w:t>
      </w:r>
      <w:r>
        <w:t>%的人认为</w:t>
      </w:r>
      <w:r>
        <w:rPr>
          <w:rFonts w:hint="eastAsia"/>
          <w:lang w:eastAsia="zh-CN"/>
        </w:rPr>
        <w:t>甘孜雅江柯拉35千伏输变电工程</w:t>
      </w:r>
      <w:r>
        <w:t>对当地经济有较大的促进，</w:t>
      </w:r>
      <w:r>
        <w:rPr>
          <w:rFonts w:hint="eastAsia"/>
        </w:rPr>
        <w:t>80</w:t>
      </w:r>
      <w:r>
        <w:t>%的人认为项目建设对当地</w:t>
      </w:r>
      <w:r>
        <w:rPr>
          <w:rFonts w:hint="eastAsia"/>
        </w:rPr>
        <w:t>环境</w:t>
      </w:r>
      <w:r>
        <w:t>有较好的影响，</w:t>
      </w:r>
      <w:r>
        <w:rPr>
          <w:rFonts w:hint="eastAsia"/>
        </w:rPr>
        <w:t>96</w:t>
      </w:r>
      <w:r>
        <w:t>%的人认为项目对当地</w:t>
      </w:r>
      <w:r>
        <w:rPr>
          <w:rFonts w:hint="eastAsia"/>
        </w:rPr>
        <w:t>农业生产</w:t>
      </w:r>
      <w:r>
        <w:t>的影响较好，</w:t>
      </w:r>
      <w:r>
        <w:rPr>
          <w:rFonts w:hint="eastAsia"/>
        </w:rPr>
        <w:t>80</w:t>
      </w:r>
      <w:r>
        <w:t>%的人认为项目区林草植被建设搞的好，</w:t>
      </w:r>
      <w:r>
        <w:rPr>
          <w:rFonts w:hint="eastAsia"/>
        </w:rPr>
        <w:t>88</w:t>
      </w:r>
      <w:r>
        <w:t>%的人认为对扰动的土地恢复得好。</w:t>
      </w:r>
    </w:p>
    <w:p>
      <w:pPr>
        <w:spacing w:beforeLines="0"/>
        <w:ind w:firstLine="480"/>
      </w:pPr>
      <w:r>
        <w:t>调查数据结果表明，大多数人认为</w:t>
      </w:r>
      <w:r>
        <w:rPr>
          <w:rFonts w:hint="eastAsia"/>
          <w:lang w:eastAsia="zh-CN"/>
        </w:rPr>
        <w:t>甘孜雅江柯拉35千伏输变电工程</w:t>
      </w:r>
      <w:r>
        <w:t>对于推动当地的经济发展和改善当地居民生活起到了积极的作用，工程建设过程中开挖边坡等扰动地表采取了相应的治理措施，基本能按照水土流失防治要求采取各种水土保持措施，扰动区得到了有效治理。</w:t>
      </w:r>
    </w:p>
    <w:p>
      <w:pPr>
        <w:pStyle w:val="4"/>
        <w:spacing w:before="120"/>
      </w:pPr>
      <w:bookmarkStart w:id="160" w:name="_Toc496268096"/>
      <w:bookmarkStart w:id="161" w:name="_Toc28049"/>
      <w:bookmarkStart w:id="162" w:name="_Toc484280834"/>
      <w:bookmarkStart w:id="163" w:name="_Toc7146"/>
      <w:bookmarkStart w:id="164" w:name="_Toc4463"/>
      <w:bookmarkStart w:id="165" w:name="_Toc489977052"/>
      <w:bookmarkStart w:id="166" w:name="_Toc515873352"/>
      <w:r>
        <w:t>水土保持效果综合评</w:t>
      </w:r>
      <w:bookmarkEnd w:id="160"/>
      <w:bookmarkEnd w:id="161"/>
      <w:bookmarkEnd w:id="162"/>
      <w:bookmarkEnd w:id="163"/>
      <w:bookmarkEnd w:id="164"/>
      <w:bookmarkEnd w:id="165"/>
      <w:r>
        <w:t>价</w:t>
      </w:r>
      <w:bookmarkEnd w:id="166"/>
    </w:p>
    <w:p>
      <w:pPr>
        <w:spacing w:beforeLines="0"/>
        <w:ind w:firstLine="480"/>
      </w:pPr>
      <w:r>
        <w:t>报告编制组认为，本项目在运行初期，水土流失治理效果较好，能满足水土保持的要求。通过建设单位、施工单位、监理单位等的共同努力，项目区域在扰动土地整治、植被恢复、水土流失控制方面治理成效比较明显，工程具备水土保持设施</w:t>
      </w:r>
      <w:r>
        <w:rPr>
          <w:rFonts w:hint="eastAsia"/>
          <w:lang w:eastAsia="zh-CN"/>
        </w:rPr>
        <w:t>完工</w:t>
      </w:r>
      <w:r>
        <w:t>验收的条件，同意组织本工程的水土保持设施</w:t>
      </w:r>
      <w:r>
        <w:rPr>
          <w:rFonts w:hint="eastAsia"/>
          <w:lang w:eastAsia="zh-CN"/>
        </w:rPr>
        <w:t>完工</w:t>
      </w:r>
      <w:r>
        <w:t>验收。</w:t>
      </w:r>
    </w:p>
    <w:p>
      <w:pPr>
        <w:spacing w:beforeLines="0"/>
        <w:ind w:firstLine="480"/>
      </w:pPr>
      <w:r>
        <w:t>工程水土流失防治指标达标情况详见下表。</w:t>
      </w:r>
    </w:p>
    <w:p>
      <w:pPr>
        <w:pStyle w:val="57"/>
        <w:spacing w:before="120"/>
        <w:rPr>
          <w:color w:val="auto"/>
        </w:rPr>
      </w:pPr>
      <w:r>
        <w:rPr>
          <w:color w:val="auto"/>
        </w:rPr>
        <w:t>水土流失防治指标达标情况统计表</w:t>
      </w:r>
    </w:p>
    <w:p>
      <w:pPr>
        <w:pStyle w:val="13"/>
      </w:pPr>
      <w:r>
        <w:t>表</w:t>
      </w:r>
      <w:r>
        <w:rPr>
          <w:vertAlign w:val="superscript"/>
        </w:rPr>
        <w:t xml:space="preserve"> </w:t>
      </w:r>
      <w:r>
        <w:fldChar w:fldCharType="begin"/>
      </w:r>
      <w:r>
        <w:instrText xml:space="preserve"> STYLEREF 2 \s </w:instrText>
      </w:r>
      <w:r>
        <w:fldChar w:fldCharType="separate"/>
      </w:r>
      <w:r>
        <w:t>5.2</w:t>
      </w:r>
      <w:r>
        <w:fldChar w:fldCharType="end"/>
      </w:r>
      <w:r>
        <w:noBreakHyphen/>
      </w:r>
      <w:r>
        <w:fldChar w:fldCharType="begin"/>
      </w:r>
      <w:r>
        <w:instrText xml:space="preserve"> SEQ 表 \* ARABIC \s 2 </w:instrText>
      </w:r>
      <w:r>
        <w:fldChar w:fldCharType="separate"/>
      </w:r>
      <w:r>
        <w:t>8</w:t>
      </w:r>
      <w:r>
        <w:fldChar w:fldCharType="end"/>
      </w:r>
    </w:p>
    <w:tbl>
      <w:tblPr>
        <w:tblStyle w:val="32"/>
        <w:tblW w:w="8522" w:type="dxa"/>
        <w:tblInd w:w="0" w:type="dxa"/>
        <w:tblLayout w:type="fixed"/>
        <w:tblCellMar>
          <w:top w:w="0" w:type="dxa"/>
          <w:left w:w="108" w:type="dxa"/>
          <w:bottom w:w="0" w:type="dxa"/>
          <w:right w:w="108" w:type="dxa"/>
        </w:tblCellMar>
      </w:tblPr>
      <w:tblGrid>
        <w:gridCol w:w="2802"/>
        <w:gridCol w:w="2267"/>
        <w:gridCol w:w="1703"/>
        <w:gridCol w:w="1750"/>
      </w:tblGrid>
      <w:tr>
        <w:tblPrEx>
          <w:tblCellMar>
            <w:top w:w="0" w:type="dxa"/>
            <w:left w:w="108" w:type="dxa"/>
            <w:bottom w:w="0" w:type="dxa"/>
            <w:right w:w="108" w:type="dxa"/>
          </w:tblCellMar>
        </w:tblPrEx>
        <w:trPr>
          <w:trHeight w:val="340" w:hRule="atLeast"/>
          <w:tblHeader/>
        </w:trPr>
        <w:tc>
          <w:tcPr>
            <w:tcW w:w="280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效益指标</w:t>
            </w:r>
          </w:p>
        </w:tc>
        <w:tc>
          <w:tcPr>
            <w:tcW w:w="2267" w:type="dxa"/>
            <w:tcBorders>
              <w:top w:val="single" w:color="auto" w:sz="4" w:space="0"/>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水保方案防治目标</w:t>
            </w:r>
          </w:p>
        </w:tc>
        <w:tc>
          <w:tcPr>
            <w:tcW w:w="1703" w:type="dxa"/>
            <w:tcBorders>
              <w:top w:val="single" w:color="auto" w:sz="4" w:space="0"/>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实际达到值</w:t>
            </w:r>
          </w:p>
        </w:tc>
        <w:tc>
          <w:tcPr>
            <w:tcW w:w="1750" w:type="dxa"/>
            <w:tcBorders>
              <w:top w:val="single" w:color="auto" w:sz="4" w:space="0"/>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是否达标</w:t>
            </w:r>
          </w:p>
        </w:tc>
      </w:tr>
      <w:tr>
        <w:tblPrEx>
          <w:tblCellMar>
            <w:top w:w="0" w:type="dxa"/>
            <w:left w:w="108" w:type="dxa"/>
            <w:bottom w:w="0" w:type="dxa"/>
            <w:right w:w="108" w:type="dxa"/>
          </w:tblCellMar>
        </w:tblPrEx>
        <w:trPr>
          <w:trHeight w:val="340" w:hRule="atLeast"/>
        </w:trPr>
        <w:tc>
          <w:tcPr>
            <w:tcW w:w="2802"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hint="eastAsia" w:cs="Times New Roman"/>
                <w:color w:val="auto"/>
                <w:lang w:val="en-US" w:eastAsia="zh-CN"/>
              </w:rPr>
              <w:t>扰动土地整治率</w:t>
            </w:r>
            <w:r>
              <w:rPr>
                <w:rFonts w:cs="Times New Roman"/>
                <w:color w:val="auto"/>
              </w:rPr>
              <w:t>（%）</w:t>
            </w:r>
          </w:p>
        </w:tc>
        <w:tc>
          <w:tcPr>
            <w:tcW w:w="2267"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eastAsia="宋体"/>
                <w:color w:val="auto"/>
              </w:rPr>
            </w:pPr>
            <w:r>
              <w:rPr>
                <w:rFonts w:hint="eastAsia" w:cs="Times New Roman"/>
                <w:color w:val="auto"/>
                <w:sz w:val="20"/>
                <w:lang w:val="en-US" w:eastAsia="zh-CN"/>
              </w:rPr>
              <w:t>95</w:t>
            </w:r>
          </w:p>
        </w:tc>
        <w:tc>
          <w:tcPr>
            <w:tcW w:w="1703"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eastAsia="宋体"/>
                <w:color w:val="auto"/>
              </w:rPr>
            </w:pPr>
            <w:r>
              <w:rPr>
                <w:color w:val="auto"/>
              </w:rPr>
              <w:t>9</w:t>
            </w:r>
            <w:r>
              <w:rPr>
                <w:rFonts w:hint="eastAsia"/>
                <w:color w:val="auto"/>
                <w:lang w:val="en-US" w:eastAsia="zh-CN"/>
              </w:rPr>
              <w:t>7.24</w:t>
            </w:r>
            <w:r>
              <w:rPr>
                <w:color w:val="auto"/>
              </w:rPr>
              <w:t>%</w:t>
            </w:r>
          </w:p>
        </w:tc>
        <w:tc>
          <w:tcPr>
            <w:tcW w:w="175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Cs w:val="20"/>
              </w:rPr>
            </w:pPr>
            <w:r>
              <w:rPr>
                <w:rFonts w:cs="Times New Roman"/>
                <w:color w:val="auto"/>
                <w:szCs w:val="21"/>
              </w:rPr>
              <w:t>达标</w:t>
            </w:r>
          </w:p>
        </w:tc>
      </w:tr>
      <w:tr>
        <w:tblPrEx>
          <w:tblCellMar>
            <w:top w:w="0" w:type="dxa"/>
            <w:left w:w="108" w:type="dxa"/>
            <w:bottom w:w="0" w:type="dxa"/>
            <w:right w:w="108" w:type="dxa"/>
          </w:tblCellMar>
        </w:tblPrEx>
        <w:trPr>
          <w:trHeight w:val="340" w:hRule="atLeast"/>
        </w:trPr>
        <w:tc>
          <w:tcPr>
            <w:tcW w:w="2802"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hint="eastAsia" w:cs="Times New Roman"/>
                <w:color w:val="auto"/>
                <w:lang w:val="en-US" w:eastAsia="zh-CN"/>
              </w:rPr>
              <w:t>水土流失总治理度（%）</w:t>
            </w:r>
          </w:p>
        </w:tc>
        <w:tc>
          <w:tcPr>
            <w:tcW w:w="2267"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eastAsia="宋体"/>
                <w:color w:val="auto"/>
              </w:rPr>
            </w:pPr>
            <w:r>
              <w:rPr>
                <w:rFonts w:hint="eastAsia" w:cs="Times New Roman"/>
                <w:color w:val="auto"/>
                <w:sz w:val="20"/>
                <w:lang w:val="en-US" w:eastAsia="zh-CN"/>
              </w:rPr>
              <w:t>96</w:t>
            </w:r>
          </w:p>
        </w:tc>
        <w:tc>
          <w:tcPr>
            <w:tcW w:w="1703"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default" w:eastAsia="仿宋_GB2312"/>
                <w:color w:val="auto"/>
                <w:lang w:val="en-US" w:eastAsia="zh-CN"/>
              </w:rPr>
            </w:pPr>
            <w:r>
              <w:rPr>
                <w:rFonts w:hint="eastAsia"/>
                <w:color w:val="auto"/>
                <w:lang w:val="en-US" w:eastAsia="zh-CN"/>
              </w:rPr>
              <w:t>96.69%</w:t>
            </w:r>
          </w:p>
        </w:tc>
        <w:tc>
          <w:tcPr>
            <w:tcW w:w="175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Cs w:val="20"/>
              </w:rPr>
            </w:pPr>
            <w:r>
              <w:rPr>
                <w:rFonts w:cs="Times New Roman"/>
                <w:color w:val="auto"/>
                <w:szCs w:val="21"/>
              </w:rPr>
              <w:t>达标</w:t>
            </w:r>
          </w:p>
        </w:tc>
      </w:tr>
      <w:tr>
        <w:tblPrEx>
          <w:tblCellMar>
            <w:top w:w="0" w:type="dxa"/>
            <w:left w:w="108" w:type="dxa"/>
            <w:bottom w:w="0" w:type="dxa"/>
            <w:right w:w="108" w:type="dxa"/>
          </w:tblCellMar>
        </w:tblPrEx>
        <w:trPr>
          <w:trHeight w:val="340" w:hRule="atLeast"/>
        </w:trPr>
        <w:tc>
          <w:tcPr>
            <w:tcW w:w="2802"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hint="eastAsia" w:cs="Times New Roman"/>
                <w:color w:val="auto"/>
                <w:lang w:val="en-US" w:eastAsia="zh-CN"/>
              </w:rPr>
              <w:t>土壤流失控制比</w:t>
            </w:r>
          </w:p>
        </w:tc>
        <w:tc>
          <w:tcPr>
            <w:tcW w:w="2267"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eastAsia="宋体"/>
                <w:color w:val="auto"/>
              </w:rPr>
            </w:pPr>
            <w:r>
              <w:rPr>
                <w:rFonts w:hint="eastAsia" w:cs="Times New Roman"/>
                <w:color w:val="auto"/>
                <w:sz w:val="20"/>
                <w:lang w:val="en-US" w:eastAsia="zh-CN"/>
              </w:rPr>
              <w:t>1</w:t>
            </w:r>
          </w:p>
        </w:tc>
        <w:tc>
          <w:tcPr>
            <w:tcW w:w="1703"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hint="eastAsia" w:eastAsia="仿宋_GB2312"/>
                <w:color w:val="auto"/>
                <w:lang w:eastAsia="zh-CN"/>
              </w:rPr>
            </w:pPr>
            <w:r>
              <w:rPr>
                <w:rFonts w:hint="eastAsia"/>
                <w:color w:val="auto"/>
                <w:lang w:val="en-US" w:eastAsia="zh-CN"/>
              </w:rPr>
              <w:t>1</w:t>
            </w:r>
          </w:p>
        </w:tc>
        <w:tc>
          <w:tcPr>
            <w:tcW w:w="175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Cs w:val="20"/>
              </w:rPr>
            </w:pPr>
            <w:r>
              <w:rPr>
                <w:rFonts w:cs="Times New Roman"/>
                <w:color w:val="auto"/>
                <w:szCs w:val="21"/>
              </w:rPr>
              <w:t>达标</w:t>
            </w:r>
          </w:p>
        </w:tc>
      </w:tr>
      <w:tr>
        <w:tblPrEx>
          <w:tblCellMar>
            <w:top w:w="0" w:type="dxa"/>
            <w:left w:w="108" w:type="dxa"/>
            <w:bottom w:w="0" w:type="dxa"/>
            <w:right w:w="108" w:type="dxa"/>
          </w:tblCellMar>
        </w:tblPrEx>
        <w:trPr>
          <w:trHeight w:val="340" w:hRule="atLeast"/>
        </w:trPr>
        <w:tc>
          <w:tcPr>
            <w:tcW w:w="2802"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hint="eastAsia" w:cs="Times New Roman"/>
                <w:color w:val="auto"/>
                <w:lang w:val="en-US" w:eastAsia="zh-CN"/>
              </w:rPr>
              <w:t>拦渣率</w:t>
            </w:r>
            <w:r>
              <w:rPr>
                <w:rFonts w:cs="Times New Roman"/>
                <w:color w:val="auto"/>
              </w:rPr>
              <w:t>（%）</w:t>
            </w:r>
          </w:p>
        </w:tc>
        <w:tc>
          <w:tcPr>
            <w:tcW w:w="2267"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eastAsia="宋体"/>
                <w:color w:val="auto"/>
              </w:rPr>
            </w:pPr>
            <w:r>
              <w:rPr>
                <w:rFonts w:hint="eastAsia" w:cs="Times New Roman"/>
                <w:color w:val="auto"/>
                <w:sz w:val="20"/>
                <w:lang w:val="en-US" w:eastAsia="zh-CN"/>
              </w:rPr>
              <w:t>95</w:t>
            </w:r>
          </w:p>
        </w:tc>
        <w:tc>
          <w:tcPr>
            <w:tcW w:w="1703"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rPr>
              <w:t>9</w:t>
            </w:r>
            <w:r>
              <w:rPr>
                <w:rFonts w:hint="eastAsia"/>
                <w:color w:val="auto"/>
                <w:lang w:val="en-US" w:eastAsia="zh-CN"/>
              </w:rPr>
              <w:t>6.5</w:t>
            </w:r>
            <w:r>
              <w:rPr>
                <w:color w:val="auto"/>
              </w:rPr>
              <w:t>%</w:t>
            </w:r>
          </w:p>
        </w:tc>
        <w:tc>
          <w:tcPr>
            <w:tcW w:w="175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Cs w:val="20"/>
              </w:rPr>
            </w:pPr>
            <w:r>
              <w:rPr>
                <w:rFonts w:cs="Times New Roman"/>
                <w:color w:val="auto"/>
                <w:szCs w:val="21"/>
              </w:rPr>
              <w:t>达标</w:t>
            </w:r>
          </w:p>
        </w:tc>
      </w:tr>
      <w:tr>
        <w:tblPrEx>
          <w:tblCellMar>
            <w:top w:w="0" w:type="dxa"/>
            <w:left w:w="108" w:type="dxa"/>
            <w:bottom w:w="0" w:type="dxa"/>
            <w:right w:w="108" w:type="dxa"/>
          </w:tblCellMar>
        </w:tblPrEx>
        <w:trPr>
          <w:trHeight w:val="340" w:hRule="atLeast"/>
        </w:trPr>
        <w:tc>
          <w:tcPr>
            <w:tcW w:w="2802"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林草植被恢复率（%）</w:t>
            </w:r>
          </w:p>
        </w:tc>
        <w:tc>
          <w:tcPr>
            <w:tcW w:w="2267"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eastAsia="宋体"/>
                <w:color w:val="auto"/>
              </w:rPr>
            </w:pPr>
            <w:r>
              <w:rPr>
                <w:rFonts w:hint="eastAsia" w:cs="Times New Roman"/>
                <w:color w:val="auto"/>
                <w:sz w:val="20"/>
                <w:lang w:val="en-US" w:eastAsia="zh-CN"/>
              </w:rPr>
              <w:t>98</w:t>
            </w:r>
          </w:p>
        </w:tc>
        <w:tc>
          <w:tcPr>
            <w:tcW w:w="1703"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color w:val="auto"/>
              </w:rPr>
              <w:t>9</w:t>
            </w:r>
            <w:r>
              <w:rPr>
                <w:rFonts w:hint="eastAsia"/>
                <w:color w:val="auto"/>
                <w:lang w:val="en-US" w:eastAsia="zh-CN"/>
              </w:rPr>
              <w:t>9.35</w:t>
            </w:r>
            <w:r>
              <w:rPr>
                <w:color w:val="auto"/>
              </w:rPr>
              <w:t>%</w:t>
            </w:r>
          </w:p>
        </w:tc>
        <w:tc>
          <w:tcPr>
            <w:tcW w:w="175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Cs w:val="20"/>
              </w:rPr>
            </w:pPr>
            <w:r>
              <w:rPr>
                <w:rFonts w:cs="Times New Roman"/>
                <w:color w:val="auto"/>
                <w:szCs w:val="21"/>
              </w:rPr>
              <w:t>达标</w:t>
            </w:r>
          </w:p>
        </w:tc>
      </w:tr>
      <w:tr>
        <w:tblPrEx>
          <w:tblCellMar>
            <w:top w:w="0" w:type="dxa"/>
            <w:left w:w="108" w:type="dxa"/>
            <w:bottom w:w="0" w:type="dxa"/>
            <w:right w:w="108" w:type="dxa"/>
          </w:tblCellMar>
        </w:tblPrEx>
        <w:trPr>
          <w:trHeight w:val="340" w:hRule="atLeast"/>
        </w:trPr>
        <w:tc>
          <w:tcPr>
            <w:tcW w:w="2802" w:type="dxa"/>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rPr>
            </w:pPr>
            <w:r>
              <w:rPr>
                <w:rFonts w:cs="Times New Roman"/>
                <w:color w:val="auto"/>
              </w:rPr>
              <w:t>林草覆盖率（%）</w:t>
            </w:r>
          </w:p>
        </w:tc>
        <w:tc>
          <w:tcPr>
            <w:tcW w:w="2267"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leftChars="0" w:right="0" w:rightChars="0" w:firstLine="0" w:firstLineChars="0"/>
              <w:rPr>
                <w:rFonts w:eastAsia="宋体"/>
                <w:color w:val="auto"/>
              </w:rPr>
            </w:pPr>
            <w:r>
              <w:rPr>
                <w:rFonts w:hint="eastAsia" w:cs="Times New Roman"/>
                <w:color w:val="auto"/>
                <w:sz w:val="20"/>
                <w:lang w:val="en-US" w:eastAsia="zh-CN"/>
              </w:rPr>
              <w:t>26</w:t>
            </w:r>
          </w:p>
        </w:tc>
        <w:tc>
          <w:tcPr>
            <w:tcW w:w="1703"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color w:val="auto"/>
              </w:rPr>
            </w:pPr>
            <w:r>
              <w:rPr>
                <w:rFonts w:hint="eastAsia"/>
                <w:color w:val="auto"/>
                <w:lang w:val="en-US" w:eastAsia="zh-CN"/>
              </w:rPr>
              <w:t>39.23</w:t>
            </w:r>
            <w:r>
              <w:rPr>
                <w:color w:val="auto"/>
              </w:rPr>
              <w:t>%</w:t>
            </w:r>
          </w:p>
        </w:tc>
        <w:tc>
          <w:tcPr>
            <w:tcW w:w="1750" w:type="dxa"/>
            <w:tcBorders>
              <w:top w:val="nil"/>
              <w:left w:val="nil"/>
              <w:bottom w:val="single" w:color="auto" w:sz="4" w:space="0"/>
              <w:right w:val="single" w:color="auto" w:sz="4" w:space="0"/>
            </w:tcBorders>
            <w:shd w:val="clear" w:color="auto" w:fill="auto"/>
            <w:vAlign w:val="center"/>
          </w:tcPr>
          <w:p>
            <w:pPr>
              <w:pStyle w:val="52"/>
              <w:keepNext w:val="0"/>
              <w:keepLines w:val="0"/>
              <w:widowControl/>
              <w:suppressLineNumbers w:val="0"/>
              <w:spacing w:before="0" w:beforeAutospacing="0" w:after="0" w:afterAutospacing="0"/>
              <w:ind w:left="0" w:right="0"/>
              <w:rPr>
                <w:rFonts w:cs="Times New Roman"/>
                <w:color w:val="auto"/>
                <w:szCs w:val="20"/>
              </w:rPr>
            </w:pPr>
            <w:r>
              <w:rPr>
                <w:rFonts w:cs="Times New Roman"/>
                <w:color w:val="auto"/>
                <w:szCs w:val="21"/>
              </w:rPr>
              <w:t>达标</w:t>
            </w:r>
          </w:p>
        </w:tc>
      </w:tr>
    </w:tbl>
    <w:p>
      <w:pPr>
        <w:spacing w:before="120"/>
        <w:ind w:firstLine="480"/>
        <w:jc w:val="left"/>
        <w:sectPr>
          <w:headerReference r:id="rId30" w:type="default"/>
          <w:pgSz w:w="11906" w:h="16838"/>
          <w:pgMar w:top="1440" w:right="1800" w:bottom="1440" w:left="1800" w:header="708" w:footer="708" w:gutter="0"/>
          <w:pgNumType w:fmt="numberInDash"/>
          <w:cols w:space="708" w:num="1"/>
          <w:docGrid w:linePitch="381" w:charSpace="0"/>
        </w:sectPr>
      </w:pPr>
    </w:p>
    <w:p>
      <w:pPr>
        <w:pStyle w:val="2"/>
      </w:pPr>
      <w:bookmarkStart w:id="167" w:name="_Toc515873353"/>
      <w:bookmarkStart w:id="168" w:name="_Toc18862"/>
      <w:r>
        <w:t>水土保持管理</w:t>
      </w:r>
      <w:bookmarkEnd w:id="167"/>
      <w:bookmarkEnd w:id="168"/>
    </w:p>
    <w:p>
      <w:pPr>
        <w:pStyle w:val="3"/>
        <w:spacing w:before="120" w:after="120"/>
        <w:rPr>
          <w:b/>
          <w:bCs/>
        </w:rPr>
      </w:pPr>
      <w:bookmarkStart w:id="169" w:name="_Toc515873354"/>
      <w:bookmarkStart w:id="170" w:name="_Toc148"/>
      <w:r>
        <w:rPr>
          <w:b/>
          <w:bCs/>
        </w:rPr>
        <w:t>组织领导</w:t>
      </w:r>
      <w:bookmarkEnd w:id="169"/>
      <w:bookmarkEnd w:id="170"/>
    </w:p>
    <w:p>
      <w:pPr>
        <w:spacing w:before="120"/>
        <w:ind w:firstLine="480"/>
      </w:pPr>
      <w:r>
        <w:t>为适应本工程建设对水土保持的需要，建设单位建立了水土保持管理体制。承担工程建设的监理和施工单位也都有相应的部门负责各项水保工程的具体落实。为了作好施工区水保工作，监理和施工单位也建立了水保管理体系，配备了水保专兼职管理人员，专门负责承包合同项目中的水保工程建设和管理工作。</w:t>
      </w:r>
    </w:p>
    <w:p>
      <w:pPr>
        <w:spacing w:before="120"/>
        <w:ind w:firstLine="480"/>
      </w:pPr>
      <w:r>
        <w:t>本工程按照项目法人制组织建设，项目管理机构如下：</w:t>
      </w:r>
    </w:p>
    <w:p>
      <w:pPr>
        <w:spacing w:before="120"/>
        <w:ind w:firstLine="480"/>
      </w:pPr>
      <w:r>
        <w:t>工程建设单位为国网四川省电力公司甘孜供电公司；</w:t>
      </w:r>
    </w:p>
    <w:p>
      <w:pPr>
        <w:spacing w:before="120"/>
        <w:ind w:firstLine="480"/>
      </w:pPr>
      <w:r>
        <w:t>水土保持方案编制单位为四川联合建设工程设计有限公司；</w:t>
      </w:r>
    </w:p>
    <w:p>
      <w:pPr>
        <w:spacing w:before="120"/>
        <w:ind w:firstLine="480"/>
      </w:pPr>
      <w:r>
        <w:t>主体工程监理单位为</w:t>
      </w:r>
      <w:r>
        <w:rPr>
          <w:rFonts w:hint="eastAsia"/>
        </w:rPr>
        <w:t>四川电力工程建设监理有限责任公司</w:t>
      </w:r>
      <w:r>
        <w:t>；</w:t>
      </w:r>
    </w:p>
    <w:p>
      <w:pPr>
        <w:spacing w:before="120"/>
        <w:ind w:firstLine="480"/>
      </w:pPr>
      <w:r>
        <w:t>水土保持设施验收报告编制单位为</w:t>
      </w:r>
      <w:r>
        <w:rPr>
          <w:bCs/>
        </w:rPr>
        <w:t>浙江中水工程技术有限公司</w:t>
      </w:r>
      <w:r>
        <w:t>；</w:t>
      </w:r>
    </w:p>
    <w:p>
      <w:pPr>
        <w:spacing w:before="120"/>
        <w:ind w:firstLine="480"/>
      </w:pPr>
      <w:r>
        <w:t>施工单位为</w:t>
      </w:r>
      <w:r>
        <w:rPr>
          <w:rFonts w:hint="eastAsia"/>
        </w:rPr>
        <w:t>甘孜电力建设有限公司</w:t>
      </w:r>
      <w:r>
        <w:t>。</w:t>
      </w:r>
    </w:p>
    <w:p>
      <w:pPr>
        <w:spacing w:before="120"/>
        <w:ind w:firstLine="480"/>
      </w:pPr>
      <w:r>
        <w:t>各单位各施其职，密切配合，以各自运转有效的管理体系来确保工程的有效管理。</w:t>
      </w:r>
    </w:p>
    <w:p>
      <w:pPr>
        <w:pStyle w:val="3"/>
        <w:spacing w:before="120" w:after="120"/>
        <w:rPr>
          <w:b/>
          <w:bCs/>
        </w:rPr>
      </w:pPr>
      <w:bookmarkStart w:id="171" w:name="_Toc3666"/>
      <w:bookmarkStart w:id="172" w:name="_Toc515873355"/>
      <w:bookmarkStart w:id="173" w:name="_Toc496281230"/>
      <w:r>
        <w:rPr>
          <w:b/>
          <w:bCs/>
        </w:rPr>
        <w:t>规章制度</w:t>
      </w:r>
      <w:bookmarkEnd w:id="171"/>
      <w:bookmarkEnd w:id="172"/>
      <w:bookmarkEnd w:id="173"/>
    </w:p>
    <w:p>
      <w:pPr>
        <w:pStyle w:val="4"/>
        <w:spacing w:before="120"/>
      </w:pPr>
      <w:bookmarkStart w:id="174" w:name="_Toc515873356"/>
      <w:bookmarkStart w:id="175" w:name="_Toc496281231"/>
      <w:r>
        <w:t>管理制度</w:t>
      </w:r>
      <w:bookmarkEnd w:id="174"/>
      <w:bookmarkEnd w:id="175"/>
    </w:p>
    <w:p>
      <w:pPr>
        <w:spacing w:before="120"/>
        <w:ind w:firstLine="480"/>
      </w:pPr>
      <w:r>
        <w:t>自工程建设以来，以国家法律法规为依据，建设单位共制定颁发《环境保护管理办法(试行)》等各项管理、考核办法、细则等多项，健全了水土保持工作的管理体系，规范了施工单位的施工行为，确保各项水土保持措施按照“三同时”制度落实。</w:t>
      </w:r>
    </w:p>
    <w:p>
      <w:pPr>
        <w:pStyle w:val="4"/>
        <w:spacing w:before="120"/>
      </w:pPr>
      <w:bookmarkStart w:id="176" w:name="_Toc496281232"/>
      <w:bookmarkStart w:id="177" w:name="_Toc515873357"/>
      <w:r>
        <w:t>开展水土保持工作考核</w:t>
      </w:r>
      <w:bookmarkEnd w:id="176"/>
      <w:bookmarkEnd w:id="177"/>
    </w:p>
    <w:p>
      <w:pPr>
        <w:spacing w:before="120"/>
        <w:ind w:firstLine="480"/>
      </w:pPr>
      <w:r>
        <w:t>为更好地落实施工区水土保持措施，提高各参建单位水土保持工作的积极性，建设单位制定了《环境保护工作考核办法（试行）》，设立环境保护和水土保持奖金，按照施工单位环境保护和水土保持工作的优差情况按比率发放，以奖代罚，调动施工单位的积极性。</w:t>
      </w:r>
    </w:p>
    <w:p>
      <w:pPr>
        <w:spacing w:before="120"/>
        <w:ind w:firstLine="480"/>
      </w:pPr>
      <w:r>
        <w:t>依据公司制定的环境保护考核办法，分别制定了奖励办法、考核办法等。</w:t>
      </w:r>
    </w:p>
    <w:p>
      <w:pPr>
        <w:spacing w:before="120"/>
        <w:ind w:firstLine="480"/>
      </w:pPr>
      <w:r>
        <w:t>考核工作程序：每半月由主管工程项目部组织监理、技术管理部到施工现场对环保水保措施实施情况进行现场打分；季度末对半月考核结果进行综合评分。根据考核评分结果，发放环境保护考核奖金。</w:t>
      </w:r>
    </w:p>
    <w:p>
      <w:pPr>
        <w:pStyle w:val="4"/>
        <w:spacing w:before="120"/>
      </w:pPr>
      <w:bookmarkStart w:id="178" w:name="_Toc515873358"/>
      <w:bookmarkStart w:id="179" w:name="_Toc496281233"/>
      <w:r>
        <w:t>水土保持工程进度管理</w:t>
      </w:r>
      <w:bookmarkEnd w:id="178"/>
      <w:bookmarkEnd w:id="179"/>
    </w:p>
    <w:p>
      <w:pPr>
        <w:spacing w:before="120"/>
        <w:ind w:firstLine="480"/>
      </w:pPr>
      <w:r>
        <w:t>为及时掌握水土保持工程建设情况，提高施工单位水土保持意识，建设单位要求各施工单位每月上报上月水土保持工程实施情况。随后，根据各单位填报情况结合新需要对该办法进行了完善。</w:t>
      </w:r>
    </w:p>
    <w:p>
      <w:pPr>
        <w:pStyle w:val="4"/>
        <w:spacing w:before="120"/>
      </w:pPr>
      <w:bookmarkStart w:id="180" w:name="_Toc515873359"/>
      <w:bookmarkStart w:id="181" w:name="_Toc496281234"/>
      <w:r>
        <w:t>合同项目水土保持工程</w:t>
      </w:r>
      <w:r>
        <w:rPr>
          <w:rFonts w:hint="eastAsia"/>
          <w:lang w:eastAsia="zh-CN"/>
        </w:rPr>
        <w:t>完工</w:t>
      </w:r>
      <w:r>
        <w:t>验收</w:t>
      </w:r>
      <w:bookmarkEnd w:id="180"/>
      <w:bookmarkEnd w:id="181"/>
    </w:p>
    <w:p>
      <w:pPr>
        <w:spacing w:before="120"/>
        <w:ind w:firstLine="480"/>
      </w:pPr>
      <w:r>
        <w:t>水土保持</w:t>
      </w:r>
      <w:r>
        <w:rPr>
          <w:rFonts w:hint="eastAsia"/>
          <w:lang w:eastAsia="zh-CN"/>
        </w:rPr>
        <w:t>完工</w:t>
      </w:r>
      <w:r>
        <w:t>验收采用过程控制和事后检查相结合的工作方法。对合同项目中水土保持工程施工过程进行巡视，检查水土保持工程实施情况，检查水土保持措施是否存在缺陷，能否发挥正常功能。工程完工后听取施工单位、监理单位的汇报，审查施工单位、监理单位编写的施工报告、监理报告，了解施工过程中水土保持工程质量、进度、投资的控制，审查施工单位编制的水土保持</w:t>
      </w:r>
      <w:r>
        <w:rPr>
          <w:rFonts w:hint="eastAsia"/>
          <w:lang w:eastAsia="zh-CN"/>
        </w:rPr>
        <w:t>完工</w:t>
      </w:r>
      <w:r>
        <w:t>验收报告，出具合同项目</w:t>
      </w:r>
      <w:r>
        <w:rPr>
          <w:rFonts w:hint="eastAsia"/>
          <w:lang w:eastAsia="zh-CN"/>
        </w:rPr>
        <w:t>完工</w:t>
      </w:r>
      <w:r>
        <w:t>水土保持意见书，从水土保持角度进行把关。完工合同项目中水土保持措施移交后，对其运行进行管理。</w:t>
      </w:r>
    </w:p>
    <w:p>
      <w:pPr>
        <w:pStyle w:val="4"/>
        <w:spacing w:before="120"/>
      </w:pPr>
      <w:bookmarkStart w:id="182" w:name="_Toc515873360"/>
      <w:bookmarkStart w:id="183" w:name="_Toc496281235"/>
      <w:r>
        <w:t>水土保持例会制度</w:t>
      </w:r>
      <w:bookmarkEnd w:id="182"/>
      <w:bookmarkEnd w:id="183"/>
    </w:p>
    <w:p>
      <w:pPr>
        <w:spacing w:before="120"/>
        <w:ind w:firstLine="480"/>
      </w:pPr>
      <w:r>
        <w:t>为了更好地贯彻落实本工程建设各项环保水保措施，自工程施工期开始每月定期组织施工、监理单位召开环保、水保工作例会，及时解决环保、水保工作中出现的各种问题，提高施工区环境管理效率，并通报和部署环保、水保工作。</w:t>
      </w:r>
    </w:p>
    <w:p>
      <w:pPr>
        <w:spacing w:before="120"/>
        <w:ind w:firstLine="480"/>
      </w:pPr>
      <w:r>
        <w:t>对于在施工期间出现的各种环保、水保难题，不定期组织相关参建单位召开专题会议解决。</w:t>
      </w:r>
    </w:p>
    <w:p>
      <w:pPr>
        <w:pStyle w:val="3"/>
        <w:spacing w:before="120" w:after="120"/>
        <w:rPr>
          <w:b/>
          <w:bCs/>
        </w:rPr>
      </w:pPr>
      <w:bookmarkStart w:id="184" w:name="_Toc4213"/>
      <w:bookmarkStart w:id="185" w:name="_Toc515873361"/>
      <w:r>
        <w:rPr>
          <w:b/>
          <w:bCs/>
        </w:rPr>
        <w:t>建设管理</w:t>
      </w:r>
      <w:bookmarkEnd w:id="184"/>
      <w:bookmarkEnd w:id="185"/>
    </w:p>
    <w:p>
      <w:pPr>
        <w:spacing w:before="120"/>
        <w:ind w:firstLine="480"/>
      </w:pPr>
      <w:r>
        <w:t>建设单位在本项目水土保持工程施工过程中，严格实行项目法人制、招投标制、建设监理制和合同管理制，分别与各参建单位签订了合同。</w:t>
      </w:r>
    </w:p>
    <w:p>
      <w:pPr>
        <w:spacing w:before="120"/>
        <w:ind w:firstLine="480"/>
      </w:pPr>
      <w:r>
        <w:t>建设单位将本项目水保工程建设和管理纳入整个工程建设管理体系实行统一管理，把水保报告书中有关水保措施纳入招标文件，分解到各个单项工程，列入合同总价与工程建设同步实施，从而为工程施工过程中，严格按照“三同时”原则，落实批复的水土保持方案报告书中的措施打下了基础，从源头上对可能发生的水土流失进行控制。</w:t>
      </w:r>
    </w:p>
    <w:p>
      <w:pPr>
        <w:spacing w:before="120"/>
        <w:ind w:firstLine="480"/>
      </w:pPr>
      <w:r>
        <w:rPr>
          <w:rFonts w:hint="eastAsia"/>
        </w:rPr>
        <w:t>四川电力工程建设监理有限责任公司</w:t>
      </w:r>
      <w:r>
        <w:t>对合同项目中的水土保持工程建设实施全过程监理。水土保持监理工作程序为：</w:t>
      </w:r>
    </w:p>
    <w:p>
      <w:pPr>
        <w:spacing w:before="120"/>
        <w:ind w:firstLine="480"/>
      </w:pPr>
      <w:r>
        <w:t>(1)</w:t>
      </w:r>
      <w:r>
        <w:rPr>
          <w:vertAlign w:val="superscript"/>
        </w:rPr>
        <w:t xml:space="preserve"> </w:t>
      </w:r>
      <w:r>
        <w:t>编制水土保持监理规划。</w:t>
      </w:r>
    </w:p>
    <w:p>
      <w:pPr>
        <w:spacing w:before="120"/>
        <w:ind w:firstLine="480"/>
      </w:pPr>
      <w:r>
        <w:t>(2)</w:t>
      </w:r>
      <w:r>
        <w:rPr>
          <w:vertAlign w:val="superscript"/>
        </w:rPr>
        <w:t xml:space="preserve"> </w:t>
      </w:r>
      <w:r>
        <w:t>编制水土保持监理实施细则。</w:t>
      </w:r>
    </w:p>
    <w:p>
      <w:pPr>
        <w:spacing w:before="120"/>
        <w:ind w:firstLine="480"/>
      </w:pPr>
      <w:r>
        <w:t>(3)</w:t>
      </w:r>
      <w:r>
        <w:rPr>
          <w:vertAlign w:val="superscript"/>
        </w:rPr>
        <w:t xml:space="preserve"> </w:t>
      </w:r>
      <w:r>
        <w:t>按照水土保持监理实施细则实施监理，督促承建单位严格按照批复的水保方案编制详细的施工组织设计或施工方案，并提交监理审查。经审查合格后，准许开工。</w:t>
      </w:r>
    </w:p>
    <w:p>
      <w:pPr>
        <w:spacing w:before="120"/>
        <w:ind w:firstLine="480"/>
      </w:pPr>
      <w:r>
        <w:t>(4)</w:t>
      </w:r>
      <w:r>
        <w:rPr>
          <w:vertAlign w:val="superscript"/>
        </w:rPr>
        <w:t xml:space="preserve"> </w:t>
      </w:r>
      <w:r>
        <w:t>在施工过程中，监督承建单位严格按照“先挡后弃、先排水后回填”的程序执行。</w:t>
      </w:r>
    </w:p>
    <w:p>
      <w:pPr>
        <w:spacing w:before="120"/>
        <w:ind w:firstLine="480"/>
      </w:pPr>
      <w:r>
        <w:t>(5)</w:t>
      </w:r>
      <w:r>
        <w:rPr>
          <w:vertAlign w:val="superscript"/>
        </w:rPr>
        <w:t xml:space="preserve"> </w:t>
      </w:r>
      <w:r>
        <w:t>水土保持分项工程完工以后，及时组织该分项或分部工程的交工（完工）验收，并移交档案资料。</w:t>
      </w:r>
    </w:p>
    <w:p>
      <w:pPr>
        <w:pStyle w:val="3"/>
        <w:spacing w:before="120" w:after="120"/>
        <w:rPr>
          <w:b/>
          <w:bCs/>
        </w:rPr>
      </w:pPr>
      <w:bookmarkStart w:id="186" w:name="_Toc32742"/>
      <w:r>
        <w:rPr>
          <w:b/>
          <w:bCs/>
        </w:rPr>
        <w:t>水土保持监测</w:t>
      </w:r>
      <w:bookmarkEnd w:id="186"/>
    </w:p>
    <w:p>
      <w:pPr>
        <w:pStyle w:val="4"/>
        <w:spacing w:before="120"/>
      </w:pPr>
      <w:r>
        <w:t>水土保持监测过程</w:t>
      </w:r>
    </w:p>
    <w:p>
      <w:pPr>
        <w:spacing w:before="120"/>
        <w:ind w:firstLine="480"/>
      </w:pPr>
      <w:r>
        <w:t>建设单位在项目建设过程中，虽然未委托具有监测资质的单位对本项目水土流失进行监测，但建设单位将本项目水保工程建设和管理纳入整个工程建设管理体系实行统一管理，成立了项目水土保持工作领导小组：分管副总任组长，施工指挥部分管领导、总工，设计单位代表、监理等相关人员为组员。领导小组定期或不定期对建设现场进行监督检查、现场调查监测等，工程在建设过程中，未发生较大的水土流失。</w:t>
      </w:r>
    </w:p>
    <w:p>
      <w:pPr>
        <w:pStyle w:val="4"/>
        <w:spacing w:before="120"/>
      </w:pPr>
      <w:r>
        <w:t>水土保持监测评价</w:t>
      </w:r>
    </w:p>
    <w:p>
      <w:pPr>
        <w:spacing w:before="120"/>
        <w:ind w:firstLine="480"/>
      </w:pPr>
      <w:r>
        <w:t>报告编制组认为，工程建设单位按照水</w:t>
      </w:r>
      <w:r>
        <w:rPr>
          <w:rFonts w:hint="eastAsia"/>
        </w:rPr>
        <w:t>利</w:t>
      </w:r>
      <w:r>
        <w:t>局批复要求，在工程建设期</w:t>
      </w:r>
      <w:r>
        <w:rPr>
          <w:rFonts w:hint="eastAsia"/>
        </w:rPr>
        <w:t>自行</w:t>
      </w:r>
      <w:r>
        <w:t>开展水土保持监测工作，从业主提供的建设期照片可得知：工程建设中各施工区采取了排水设施等措施，将工程建设产生的土石基本拦住，防止其再次流失；后期采取植物措施后，有效地控制了松散土的流失。随着植被发育及覆盖度的提高，施工扰动地表将得到有效保护，而且在投入运行后不再产生扰动地表活动。通过采取各项水土保持措施，使原有的水土流失状况得到基本治理，使新增水土流失得到有效控制，尤其是水土流失防治措施实施后的水土流失量比施工阶段明显减少，保证了工程的正常运行，创造了良好的生态环境，实现了区域生态经济的可持续发展。</w:t>
      </w:r>
    </w:p>
    <w:p>
      <w:pPr>
        <w:pStyle w:val="3"/>
        <w:spacing w:before="120" w:after="120"/>
        <w:rPr>
          <w:b/>
          <w:bCs/>
        </w:rPr>
      </w:pPr>
      <w:bookmarkStart w:id="187" w:name="_Toc10296"/>
      <w:bookmarkStart w:id="188" w:name="_Toc515873365"/>
      <w:r>
        <w:rPr>
          <w:b/>
          <w:bCs/>
        </w:rPr>
        <w:t>水土保持监理</w:t>
      </w:r>
      <w:bookmarkEnd w:id="187"/>
      <w:bookmarkEnd w:id="188"/>
    </w:p>
    <w:p>
      <w:pPr>
        <w:pStyle w:val="4"/>
        <w:spacing w:before="120"/>
      </w:pPr>
      <w:bookmarkStart w:id="189" w:name="_Toc496268081"/>
      <w:bookmarkStart w:id="190" w:name="_Toc484280820"/>
      <w:bookmarkStart w:id="191" w:name="_Toc21354"/>
      <w:bookmarkStart w:id="192" w:name="_Toc21634"/>
      <w:bookmarkStart w:id="193" w:name="_Toc489977037"/>
      <w:bookmarkStart w:id="194" w:name="_Toc515873366"/>
      <w:bookmarkStart w:id="195" w:name="_Toc24644"/>
      <w:r>
        <w:t>监理内容评估</w:t>
      </w:r>
      <w:bookmarkEnd w:id="189"/>
      <w:bookmarkEnd w:id="190"/>
      <w:bookmarkEnd w:id="191"/>
      <w:bookmarkEnd w:id="192"/>
      <w:bookmarkEnd w:id="193"/>
      <w:bookmarkEnd w:id="194"/>
      <w:bookmarkEnd w:id="195"/>
    </w:p>
    <w:p>
      <w:pPr>
        <w:spacing w:before="120"/>
        <w:ind w:firstLine="480"/>
      </w:pPr>
      <w:r>
        <w:t>（1）监理机构</w:t>
      </w:r>
    </w:p>
    <w:p>
      <w:pPr>
        <w:spacing w:before="120"/>
        <w:ind w:firstLine="480"/>
      </w:pPr>
      <w:r>
        <w:t>2019年</w:t>
      </w:r>
      <w:r>
        <w:rPr>
          <w:rFonts w:hint="eastAsia"/>
          <w:lang w:val="en-US" w:eastAsia="zh-CN"/>
        </w:rPr>
        <w:t>4</w:t>
      </w:r>
      <w:r>
        <w:t>月，国网四川省电力公司甘孜供电公司委托</w:t>
      </w:r>
      <w:r>
        <w:rPr>
          <w:rFonts w:hint="eastAsia"/>
        </w:rPr>
        <w:t>四川电力工程建设监理有限责任公司</w:t>
      </w:r>
      <w:r>
        <w:t>对</w:t>
      </w:r>
      <w:r>
        <w:rPr>
          <w:rFonts w:hint="eastAsia"/>
          <w:lang w:eastAsia="zh-CN"/>
        </w:rPr>
        <w:t>甘孜雅江柯拉35千伏输变电工程</w:t>
      </w:r>
      <w:r>
        <w:t>建设期间的土建工程进行监理。</w:t>
      </w:r>
      <w:r>
        <w:rPr>
          <w:snapToGrid w:val="0"/>
        </w:rPr>
        <w:t>由于《水土保持方案报告书》（报批稿）中本项目工程水土保持措施总投资小于3000万，按照《关于加强大中型开发建设项目水土保持监理工作的通知》（水保〔2003〕89号）等相关规定及要求，本项目</w:t>
      </w:r>
      <w:r>
        <w:rPr>
          <w:rFonts w:hint="eastAsia"/>
          <w:snapToGrid w:val="0"/>
        </w:rPr>
        <w:t>可以</w:t>
      </w:r>
      <w:r>
        <w:rPr>
          <w:snapToGrid w:val="0"/>
        </w:rPr>
        <w:t>由主体工程监理单位将水土保持监理工作纳入主体工程监理中。</w:t>
      </w:r>
    </w:p>
    <w:p>
      <w:pPr>
        <w:spacing w:before="120"/>
        <w:ind w:firstLine="480"/>
      </w:pPr>
      <w:r>
        <w:rPr>
          <w:snapToGrid w:val="0"/>
        </w:rPr>
        <w:t>监理单位正式进场时间为2019年</w:t>
      </w:r>
      <w:r>
        <w:rPr>
          <w:rFonts w:hint="eastAsia"/>
          <w:snapToGrid w:val="0"/>
          <w:lang w:val="en-US" w:eastAsia="zh-CN"/>
        </w:rPr>
        <w:t>4</w:t>
      </w:r>
      <w:r>
        <w:rPr>
          <w:snapToGrid w:val="0"/>
        </w:rPr>
        <w:t>月</w:t>
      </w:r>
      <w:r>
        <w:rPr>
          <w:rFonts w:hint="eastAsia"/>
          <w:snapToGrid w:val="0"/>
          <w:lang w:val="en-US" w:eastAsia="zh-CN"/>
        </w:rPr>
        <w:t>20</w:t>
      </w:r>
      <w:r>
        <w:rPr>
          <w:snapToGrid w:val="0"/>
        </w:rPr>
        <w:t>日，</w:t>
      </w:r>
      <w:r>
        <w:t>项目监理实行总监理工程师负责制，在总监理工程师的主持下，按照专业进行监理和管理。总监理工程师是履行本项目监理合同的全权负责人，组织和领导本项目监理工作，完成监理合同所规定的监理方全部责任。项目监理部自进场以来，根据监理合同规定成立了监理组织机构，相应配备了能满足合同和工程需要的监理工程师和现场监理员。</w:t>
      </w:r>
    </w:p>
    <w:p>
      <w:pPr>
        <w:spacing w:before="120"/>
        <w:ind w:firstLine="480"/>
      </w:pPr>
      <w:r>
        <w:t>（2）监理过程</w:t>
      </w:r>
    </w:p>
    <w:p>
      <w:pPr>
        <w:spacing w:before="120"/>
        <w:ind w:firstLine="480"/>
      </w:pPr>
      <w:r>
        <w:t>2019年</w:t>
      </w:r>
      <w:r>
        <w:rPr>
          <w:rFonts w:hint="eastAsia"/>
          <w:lang w:val="en-US" w:eastAsia="zh-CN"/>
        </w:rPr>
        <w:t>4</w:t>
      </w:r>
      <w:r>
        <w:t>月</w:t>
      </w:r>
      <w:r>
        <w:rPr>
          <w:rFonts w:hint="eastAsia"/>
          <w:lang w:val="en-US" w:eastAsia="zh-CN"/>
        </w:rPr>
        <w:t>25</w:t>
      </w:r>
      <w:r>
        <w:t>日开始，监理单位</w:t>
      </w:r>
      <w:r>
        <w:rPr>
          <w:rFonts w:hint="eastAsia"/>
        </w:rPr>
        <w:t>四川电力工程建设监理有限责任公司</w:t>
      </w:r>
      <w:r>
        <w:t>对</w:t>
      </w:r>
      <w:r>
        <w:rPr>
          <w:rFonts w:hint="eastAsia"/>
          <w:lang w:eastAsia="zh-CN"/>
        </w:rPr>
        <w:t>甘孜雅江柯拉35千伏输变电工程</w:t>
      </w:r>
      <w:r>
        <w:t>施工期进行监理，并负责该项目施工期的水土保持设施专项监理。</w:t>
      </w:r>
    </w:p>
    <w:p>
      <w:pPr>
        <w:spacing w:before="120"/>
        <w:ind w:firstLine="480"/>
      </w:pPr>
      <w:r>
        <w:t>（3）监理内容</w:t>
      </w:r>
    </w:p>
    <w:p>
      <w:pPr>
        <w:spacing w:before="120"/>
        <w:ind w:firstLine="480"/>
      </w:pPr>
      <w:r>
        <w:t>监理单位主要是以对水土保持措施的单位工程、分部工程、单元工程、重要隐蔽工程、工程关键部位、中间产品以及外观质量得分进行质量评定。在具体监理过程中，监理单位、建设单位以及施工单位，共同对施工原始记录、质量检验记录等资料进行查验，确认单元工程质量评定表所填写的数据、内容的真实和完整性，必要时可进行破坏性抽检。同时，应在单元工程质量评定表中明确记载质量等级的核定意见。</w:t>
      </w:r>
    </w:p>
    <w:p>
      <w:pPr>
        <w:spacing w:before="120"/>
        <w:ind w:firstLine="480"/>
      </w:pPr>
      <w:r>
        <w:t>（4）监理方法</w:t>
      </w:r>
    </w:p>
    <w:p>
      <w:pPr>
        <w:spacing w:before="120"/>
        <w:ind w:firstLine="480"/>
      </w:pPr>
      <w:r>
        <w:t>该工程的监理工作在工程建设全过程中实施“四控制”（进度、质量、投资、安全控制）、“一管理”（合同管理）、“一协调”（协调业主和工程参建各方的关系），实现工程完工投产目标。</w:t>
      </w:r>
    </w:p>
    <w:p>
      <w:pPr>
        <w:spacing w:before="120"/>
        <w:ind w:firstLine="480"/>
      </w:pPr>
      <w:r>
        <w:rPr>
          <w:rFonts w:eastAsia="宋体"/>
        </w:rPr>
        <w:t>①</w:t>
      </w:r>
      <w:r>
        <w:t>质量控制方法</w:t>
      </w:r>
    </w:p>
    <w:p>
      <w:pPr>
        <w:spacing w:before="120"/>
        <w:ind w:firstLine="480"/>
      </w:pPr>
      <w:r>
        <w:t>质量控制分事前、事中、事后质量控制措施。依据国家建设监理有关规定，监理单位制定了一系列质量控制程序，主要包括承包单位质量体系审查程序、施工质量检验项目划分、报审、主要工程材料检查及复试检验、见证取样检验、材料及构（配）件供货商资质审查、外协单位资质审查、施工器具和检测仪表审查、质量验收及评定、隐蔽工程质量验收、不合格品管理、质量事故处理工作、工程质量例会管理办法等工作程序流程框图，以规范工程质量监理工作。施工、监理人员必须熟悉和遵守。</w:t>
      </w:r>
    </w:p>
    <w:p>
      <w:pPr>
        <w:spacing w:before="120"/>
        <w:ind w:firstLine="480"/>
      </w:pPr>
      <w:r>
        <w:rPr>
          <w:rFonts w:eastAsia="宋体"/>
        </w:rPr>
        <w:t>②</w:t>
      </w:r>
      <w:r>
        <w:t>进度控制方法</w:t>
      </w:r>
    </w:p>
    <w:p>
      <w:pPr>
        <w:spacing w:before="120"/>
        <w:ind w:firstLine="480"/>
      </w:pPr>
      <w:r>
        <w:t>审核施工进度计划、材料设备供应计划与工期目标的协调性、符合性。审查承包商编制的二级及以下网络进度计划及其修改计划，并监督实施。根据《施工合同》督促承包商编制、执行、调整、控制进度计划，掌握工程进度，采取措施，确保工程开、</w:t>
      </w:r>
      <w:r>
        <w:rPr>
          <w:rFonts w:hint="eastAsia"/>
          <w:lang w:eastAsia="zh-CN"/>
        </w:rPr>
        <w:t>完工</w:t>
      </w:r>
      <w:r>
        <w:t>时间和工程阶段性里程碑进度计划的按时完成。</w:t>
      </w:r>
    </w:p>
    <w:p>
      <w:pPr>
        <w:spacing w:before="120"/>
        <w:ind w:firstLine="480"/>
      </w:pPr>
      <w:r>
        <w:rPr>
          <w:rFonts w:eastAsia="宋体"/>
        </w:rPr>
        <w:t>③</w:t>
      </w:r>
      <w:r>
        <w:t>投资控制方法</w:t>
      </w:r>
    </w:p>
    <w:p>
      <w:pPr>
        <w:spacing w:before="120"/>
        <w:ind w:firstLine="480"/>
      </w:pPr>
      <w:r>
        <w:t>协助业主方准备并评审施工招标文件，参与对施工承包商的评标、合同谈判工作。协助委托人与承包人签订承包合同。</w:t>
      </w:r>
    </w:p>
    <w:p>
      <w:pPr>
        <w:spacing w:before="120"/>
        <w:ind w:firstLine="480"/>
      </w:pPr>
      <w:r>
        <w:t>以批准的设计概算为控制投资工作的依据，协助业主方编制工程年度资金计划，并按月、季核实落实，定期向业主方通报资金使用状况。</w:t>
      </w:r>
    </w:p>
    <w:p>
      <w:pPr>
        <w:spacing w:before="120"/>
        <w:ind w:firstLine="480"/>
      </w:pPr>
      <w:r>
        <w:t>审查承包商实际完成工作量及上报的《合同项目付款申请表》、《工程费用支付汇总表》、《工程变更费用申请表》、《工程结算书》等费用报表，确认无误后，由总监理工程师签署计量和工程付款凭证，使工程投资得到有效控制。</w:t>
      </w:r>
    </w:p>
    <w:p>
      <w:pPr>
        <w:spacing w:before="120"/>
        <w:ind w:firstLine="480"/>
      </w:pPr>
      <w:r>
        <w:t>严格经费签证，凡涉及经济费用支出的停工签证、用工签证、使用机械签证、材料代用和材料调价签证，由项目总监理工程师最后核签。</w:t>
      </w:r>
    </w:p>
    <w:p>
      <w:pPr>
        <w:spacing w:before="120"/>
        <w:ind w:firstLine="480"/>
      </w:pPr>
      <w:r>
        <w:t>严格按程序从造价、功能要求、质量和工期等方面审查工程变更、设计修改方案，如有变更及时通报业主方。</w:t>
      </w:r>
    </w:p>
    <w:p>
      <w:pPr>
        <w:pStyle w:val="4"/>
        <w:spacing w:before="120"/>
      </w:pPr>
      <w:bookmarkStart w:id="196" w:name="_Toc484280821"/>
      <w:bookmarkStart w:id="197" w:name="_Toc24931"/>
      <w:bookmarkStart w:id="198" w:name="_Toc489977038"/>
      <w:bookmarkStart w:id="199" w:name="_Toc1748"/>
      <w:bookmarkStart w:id="200" w:name="_Toc515873367"/>
      <w:bookmarkStart w:id="201" w:name="_Toc496268082"/>
      <w:bookmarkStart w:id="202" w:name="_Toc20933"/>
      <w:r>
        <w:t>监理结果分析与评价</w:t>
      </w:r>
      <w:bookmarkEnd w:id="196"/>
      <w:bookmarkEnd w:id="197"/>
      <w:bookmarkEnd w:id="198"/>
      <w:bookmarkEnd w:id="199"/>
      <w:bookmarkEnd w:id="200"/>
      <w:bookmarkEnd w:id="201"/>
      <w:bookmarkEnd w:id="202"/>
    </w:p>
    <w:p>
      <w:pPr>
        <w:spacing w:before="120"/>
        <w:ind w:firstLine="480"/>
        <w:jc w:val="left"/>
      </w:pPr>
      <w:r>
        <w:t>主体监理单位接受委托后，及时组建了工程现场监理部（包含水土保持工程），并根据《水土流失综合治理技术规范（GB/T16453-2008）、《建设工程监理规范》（GB50319-2000）、《水利工程建设项目施工监理规范》（SL288-2003）、《水土保持质量评定规程》（SL336-2006）等与水土保持有关的规程、规范和技术标准及文件要求，开展了水土保持工程监理工作。</w:t>
      </w:r>
    </w:p>
    <w:p>
      <w:pPr>
        <w:spacing w:before="120"/>
        <w:ind w:firstLine="480"/>
      </w:pPr>
      <w:r>
        <w:t>一、水土保持工程建设项目监理在监理过程中主要开展了以下工作：</w:t>
      </w:r>
    </w:p>
    <w:p>
      <w:pPr>
        <w:spacing w:before="120"/>
        <w:ind w:firstLine="480"/>
      </w:pPr>
      <w:r>
        <w:rPr>
          <w:rFonts w:eastAsia="宋体"/>
        </w:rPr>
        <w:t>①</w:t>
      </w:r>
      <w:r>
        <w:t>熟悉工程设计施工图及合同规定的技术规程、规范与技术标准；</w:t>
      </w:r>
    </w:p>
    <w:p>
      <w:pPr>
        <w:spacing w:before="120"/>
        <w:ind w:firstLine="480"/>
      </w:pPr>
      <w:r>
        <w:rPr>
          <w:rFonts w:eastAsia="宋体"/>
        </w:rPr>
        <w:t>②</w:t>
      </w:r>
      <w:r>
        <w:t>制定工程监理程序，审查承包商编制的施工组织设计及施工方案、质量保证体系等；</w:t>
      </w:r>
    </w:p>
    <w:p>
      <w:pPr>
        <w:spacing w:before="120"/>
        <w:ind w:firstLine="480"/>
      </w:pPr>
      <w:r>
        <w:rPr>
          <w:rFonts w:eastAsia="宋体"/>
        </w:rPr>
        <w:t>③</w:t>
      </w:r>
      <w:r>
        <w:t>对每道工序、每个部位不定期地进行质量检查和巡视检查，对重要工程基础开挖、墙体砌筑、采取旁站措施；对质量合格及时签认，对不合格的要求返工或采取补救措施；</w:t>
      </w:r>
    </w:p>
    <w:p>
      <w:pPr>
        <w:spacing w:before="120"/>
        <w:ind w:firstLine="480"/>
      </w:pPr>
      <w:r>
        <w:rPr>
          <w:rFonts w:eastAsia="宋体"/>
        </w:rPr>
        <w:t>④</w:t>
      </w:r>
      <w:r>
        <w:t>反复宣传“预防为主、保护优先、全面规划、综合治理、因地制宜、突出重点、科学管理、注重效益”的方针，发现质量问题及时进行处理；</w:t>
      </w:r>
    </w:p>
    <w:p>
      <w:pPr>
        <w:spacing w:before="120"/>
        <w:ind w:firstLine="480"/>
      </w:pPr>
      <w:r>
        <w:rPr>
          <w:rFonts w:eastAsia="宋体"/>
        </w:rPr>
        <w:t>⑤</w:t>
      </w:r>
      <w:r>
        <w:t>在项目施工过程中及时向业主提交各种报表和工作总结报告，并做好监理日志记录，整理好有关资料。</w:t>
      </w:r>
    </w:p>
    <w:p>
      <w:pPr>
        <w:spacing w:before="120"/>
        <w:ind w:firstLine="480"/>
      </w:pPr>
      <w:r>
        <w:t>二、防治责任范围监理情况</w:t>
      </w:r>
    </w:p>
    <w:p>
      <w:pPr>
        <w:spacing w:before="120"/>
        <w:ind w:firstLine="480"/>
      </w:pPr>
      <w:r>
        <w:t>《水土保持方案报告书》（报批稿）中明确</w:t>
      </w:r>
      <w:r>
        <w:rPr>
          <w:snapToGrid w:val="0"/>
          <w:kern w:val="0"/>
        </w:rPr>
        <w:t>该工程确定的防治责任范围为</w:t>
      </w:r>
      <w:r>
        <w:rPr>
          <w:rFonts w:hint="eastAsia"/>
          <w:lang w:eastAsia="zh-CN"/>
        </w:rPr>
        <w:t>1.85</w:t>
      </w:r>
      <w:r>
        <w:t>hm</w:t>
      </w:r>
      <w:r>
        <w:rPr>
          <w:vertAlign w:val="superscript"/>
        </w:rPr>
        <w:t>2</w:t>
      </w:r>
      <w:r>
        <w:t>。在实际建设中，工程防治责任范围为</w:t>
      </w:r>
      <w:r>
        <w:rPr>
          <w:rFonts w:hint="eastAsia"/>
          <w:lang w:eastAsia="zh-CN"/>
        </w:rPr>
        <w:t>1.81</w:t>
      </w:r>
      <w:r>
        <w:t>hm</w:t>
      </w:r>
      <w:r>
        <w:rPr>
          <w:vertAlign w:val="superscript"/>
        </w:rPr>
        <w:t>2</w:t>
      </w:r>
      <w:r>
        <w:t>。</w:t>
      </w:r>
    </w:p>
    <w:p>
      <w:pPr>
        <w:spacing w:before="120"/>
        <w:ind w:firstLine="480"/>
      </w:pPr>
      <w:r>
        <w:t>三、工程质量监理结果</w:t>
      </w:r>
    </w:p>
    <w:p>
      <w:pPr>
        <w:spacing w:before="120"/>
        <w:ind w:firstLine="480"/>
      </w:pPr>
      <w:r>
        <w:t>监理单位按照水土保持工程的界定三原则（主导功能原则、责任区分原则、试验排除原则）及《水土保持工程质量评定规程》(SL336-2006)确定的水土保持措施项目划分方法，将本项目工程的水土保持措施划分为3个单位工程，</w:t>
      </w:r>
      <w:r>
        <w:rPr>
          <w:rFonts w:hint="eastAsia"/>
        </w:rPr>
        <w:t>6</w:t>
      </w:r>
      <w:r>
        <w:t>个分部工程，</w:t>
      </w:r>
      <w:r>
        <w:rPr>
          <w:rFonts w:hint="eastAsia"/>
          <w:lang w:val="en-US" w:eastAsia="zh-CN"/>
        </w:rPr>
        <w:t>42</w:t>
      </w:r>
      <w:r>
        <w:t>个单元工程。</w:t>
      </w:r>
    </w:p>
    <w:p>
      <w:pPr>
        <w:pStyle w:val="4"/>
        <w:spacing w:before="120"/>
      </w:pPr>
      <w:bookmarkStart w:id="203" w:name="_Toc16848"/>
      <w:bookmarkStart w:id="204" w:name="_Toc489977039"/>
      <w:bookmarkStart w:id="205" w:name="_Toc484280822"/>
      <w:bookmarkStart w:id="206" w:name="_Toc5115"/>
      <w:bookmarkStart w:id="207" w:name="_Toc515873368"/>
      <w:bookmarkStart w:id="208" w:name="_Toc24319"/>
      <w:bookmarkStart w:id="209" w:name="_Toc496268083"/>
      <w:r>
        <w:t>监理评估结论</w:t>
      </w:r>
      <w:bookmarkEnd w:id="203"/>
      <w:bookmarkEnd w:id="204"/>
      <w:bookmarkEnd w:id="205"/>
      <w:bookmarkEnd w:id="206"/>
      <w:bookmarkEnd w:id="207"/>
      <w:bookmarkEnd w:id="208"/>
      <w:bookmarkEnd w:id="209"/>
    </w:p>
    <w:p>
      <w:pPr>
        <w:spacing w:before="120"/>
        <w:ind w:firstLine="480"/>
      </w:pPr>
      <w:r>
        <w:t>监理单位按照监理合同完成了合同拟定的全部监理工作任务，包括土地整治工程、防洪排导工程和植被建设工程的监理。监理单位能严格按照监理合同要求，审查承包单位的工程质量控制体系，监理人员常驻现场，相对独立、科学严谨，对重点工程进行跟班作业，及时解决施工中存在的问题，对施工质量、进度进行监控，工程质量达到设计要求，确保项目工期的实现。该工程质量基本符合水土保持设计和有关规范的要求，已栽植的草籽成活率和保存率90%以上。并对工程资料的管理，严格按照有关部门的规定进行了归档，并建立了监理资料查阅制度。</w:t>
      </w:r>
    </w:p>
    <w:p>
      <w:pPr>
        <w:spacing w:before="120"/>
        <w:ind w:firstLine="480"/>
      </w:pPr>
      <w:r>
        <w:t>报告编制组认为：</w:t>
      </w:r>
      <w:r>
        <w:rPr>
          <w:rFonts w:hint="eastAsia"/>
          <w:lang w:eastAsia="zh-CN"/>
        </w:rPr>
        <w:t>甘孜雅江柯拉35千伏输变电工程</w:t>
      </w:r>
      <w:r>
        <w:t>在建设过程中根据相关法律法规和规章的要求，开展了相关的监理工作，监理单位取得了相关的工程质量监理数据，监理成果基本能够反映该项目工程的水土保持工程质量状况。</w:t>
      </w:r>
    </w:p>
    <w:p>
      <w:pPr>
        <w:spacing w:before="120"/>
        <w:ind w:firstLine="480"/>
      </w:pPr>
      <w:r>
        <w:t>监理结果表明，项目建设期间，在各防治分区采取的水土保持措施质量总体合格、外观整齐、水土保持工程布局合理，水土保持监理工作整体满足水土保持相关规程、规范的要求。</w:t>
      </w:r>
    </w:p>
    <w:p>
      <w:pPr>
        <w:pStyle w:val="3"/>
        <w:spacing w:before="120" w:after="120"/>
        <w:rPr>
          <w:b/>
          <w:bCs/>
        </w:rPr>
      </w:pPr>
      <w:bookmarkStart w:id="210" w:name="_Toc702"/>
      <w:bookmarkStart w:id="211" w:name="_Toc515873369"/>
      <w:r>
        <w:rPr>
          <w:b/>
          <w:bCs/>
        </w:rPr>
        <w:t>水行政主管部门监督检查意见落实情况</w:t>
      </w:r>
      <w:bookmarkEnd w:id="210"/>
      <w:bookmarkEnd w:id="211"/>
    </w:p>
    <w:p>
      <w:pPr>
        <w:spacing w:before="120"/>
        <w:ind w:firstLine="480"/>
      </w:pPr>
      <w:r>
        <w:t>建设单位主动和当地水行政主管部门取得联系，积极主动接受甘孜州水利局、</w:t>
      </w:r>
      <w:r>
        <w:rPr>
          <w:rFonts w:hint="eastAsia"/>
          <w:lang w:eastAsia="zh-CN"/>
        </w:rPr>
        <w:t>雅江</w:t>
      </w:r>
      <w:r>
        <w:rPr>
          <w:rFonts w:hint="eastAsia"/>
        </w:rPr>
        <w:t>县</w:t>
      </w:r>
      <w:r>
        <w:t>水务局等水行政主管部门的监督和检查，确保批复的《水土保持方案》顺利实施。</w:t>
      </w:r>
    </w:p>
    <w:p>
      <w:pPr>
        <w:spacing w:before="120"/>
        <w:ind w:firstLine="480"/>
      </w:pPr>
      <w:r>
        <w:t>建设单位主动汇报本项目水土保持工作情况，接受当地水行政主管部门的监督与检查。地方水行政主管部门对工程开展了多次水土保持监督检查工作，并提出了口头监督检查意见，建设单位已积极按照意见落实完善。</w:t>
      </w:r>
    </w:p>
    <w:p>
      <w:pPr>
        <w:pStyle w:val="3"/>
        <w:spacing w:before="120" w:after="120"/>
        <w:rPr>
          <w:b/>
          <w:bCs/>
        </w:rPr>
      </w:pPr>
      <w:bookmarkStart w:id="212" w:name="_Toc515873370"/>
      <w:bookmarkStart w:id="213" w:name="_Toc4715"/>
      <w:r>
        <w:rPr>
          <w:b/>
          <w:bCs/>
        </w:rPr>
        <w:t>水土保持补偿费缴纳情况</w:t>
      </w:r>
      <w:bookmarkEnd w:id="212"/>
      <w:bookmarkEnd w:id="213"/>
    </w:p>
    <w:p>
      <w:pPr>
        <w:spacing w:before="120"/>
        <w:ind w:firstLine="480"/>
        <w:rPr>
          <w:color w:val="000000" w:themeColor="text1"/>
        </w:rPr>
      </w:pPr>
      <w:r>
        <w:t>本项目于2019年</w:t>
      </w:r>
      <w:r>
        <w:rPr>
          <w:rFonts w:hint="eastAsia"/>
          <w:lang w:val="en-US" w:eastAsia="zh-CN"/>
        </w:rPr>
        <w:t>4</w:t>
      </w:r>
      <w:r>
        <w:t>月</w:t>
      </w:r>
      <w:r>
        <w:rPr>
          <w:rFonts w:hint="eastAsia"/>
          <w:lang w:val="en-US" w:eastAsia="zh-CN"/>
        </w:rPr>
        <w:t>25</w:t>
      </w:r>
      <w:r>
        <w:t>日开工，20</w:t>
      </w:r>
      <w:r>
        <w:rPr>
          <w:rFonts w:hint="eastAsia"/>
          <w:lang w:val="en-US" w:eastAsia="zh-CN"/>
        </w:rPr>
        <w:t>19</w:t>
      </w:r>
      <w:r>
        <w:t>年</w:t>
      </w:r>
      <w:r>
        <w:rPr>
          <w:rFonts w:hint="eastAsia"/>
          <w:lang w:val="en-US" w:eastAsia="zh-CN"/>
        </w:rPr>
        <w:t>11</w:t>
      </w:r>
      <w:r>
        <w:t>月</w:t>
      </w:r>
      <w:r>
        <w:rPr>
          <w:rFonts w:hint="eastAsia"/>
        </w:rPr>
        <w:t>1</w:t>
      </w:r>
      <w:r>
        <w:t>日</w:t>
      </w:r>
      <w:r>
        <w:rPr>
          <w:rFonts w:hint="eastAsia"/>
          <w:lang w:eastAsia="zh-CN"/>
        </w:rPr>
        <w:t>完工</w:t>
      </w:r>
      <w:r>
        <w:t>，工程总工期</w:t>
      </w:r>
      <w:r>
        <w:rPr>
          <w:rFonts w:hint="eastAsia"/>
          <w:lang w:val="en-US" w:eastAsia="zh-CN"/>
        </w:rPr>
        <w:t>6</w:t>
      </w:r>
      <w:r>
        <w:t>个月。项目建设范围包括分为变电站工程区和线路工程区2个一级分区，再根据各分区的施工特点在细分为</w:t>
      </w:r>
      <w:r>
        <w:rPr>
          <w:rFonts w:hint="eastAsia"/>
          <w:lang w:eastAsia="zh-CN"/>
        </w:rPr>
        <w:t>柯拉</w:t>
      </w:r>
      <w:r>
        <w:t>35kV</w:t>
      </w:r>
      <w:r>
        <w:rPr>
          <w:vertAlign w:val="superscript"/>
        </w:rPr>
        <w:t xml:space="preserve"> </w:t>
      </w:r>
      <w:r>
        <w:t>变电站区、施工场地区、电缆工程区、塔基及塔基临时占地区、其他临时占地区和人抬道路区等</w:t>
      </w:r>
      <w:r>
        <w:rPr>
          <w:rFonts w:hint="eastAsia"/>
          <w:lang w:val="en-US" w:eastAsia="zh-CN"/>
        </w:rPr>
        <w:t>6</w:t>
      </w:r>
      <w:r>
        <w:t>个二级防治</w:t>
      </w:r>
      <w:r>
        <w:rPr>
          <w:color w:val="000000" w:themeColor="text1"/>
        </w:rPr>
        <w:t>分区。建设单位已于2019年5月24日按水土保持方案批复</w:t>
      </w:r>
      <w:r>
        <w:rPr>
          <w:rFonts w:hint="eastAsia"/>
          <w:color w:val="000000" w:themeColor="text1"/>
          <w:lang w:val="en-US" w:eastAsia="zh-CN"/>
        </w:rPr>
        <w:t>2.40</w:t>
      </w:r>
      <w:r>
        <w:rPr>
          <w:color w:val="000000" w:themeColor="text1"/>
        </w:rPr>
        <w:t>万元缴纳（详见附件）。</w:t>
      </w:r>
    </w:p>
    <w:p>
      <w:pPr>
        <w:pStyle w:val="3"/>
        <w:spacing w:before="120" w:after="120"/>
        <w:rPr>
          <w:b/>
          <w:bCs/>
        </w:rPr>
      </w:pPr>
      <w:bookmarkStart w:id="214" w:name="_Toc30869"/>
      <w:bookmarkStart w:id="215" w:name="_Toc515873371"/>
      <w:r>
        <w:rPr>
          <w:b/>
          <w:bCs/>
        </w:rPr>
        <w:t>水土保持设施管理维护</w:t>
      </w:r>
      <w:bookmarkEnd w:id="214"/>
      <w:bookmarkEnd w:id="215"/>
    </w:p>
    <w:p>
      <w:pPr>
        <w:pStyle w:val="4"/>
        <w:spacing w:before="120"/>
      </w:pPr>
      <w:bookmarkStart w:id="216" w:name="_Toc515873372"/>
      <w:r>
        <w:t>管理机构、人员、制度</w:t>
      </w:r>
      <w:bookmarkEnd w:id="216"/>
    </w:p>
    <w:p>
      <w:pPr>
        <w:spacing w:before="120"/>
        <w:ind w:firstLine="480"/>
      </w:pPr>
      <w:r>
        <w:t>本工程于2019年</w:t>
      </w:r>
      <w:r>
        <w:rPr>
          <w:rFonts w:hint="eastAsia"/>
          <w:lang w:val="en-US" w:eastAsia="zh-CN"/>
        </w:rPr>
        <w:t>4</w:t>
      </w:r>
      <w:r>
        <w:t>月</w:t>
      </w:r>
      <w:r>
        <w:rPr>
          <w:rFonts w:hint="eastAsia"/>
          <w:lang w:val="en-US" w:eastAsia="zh-CN"/>
        </w:rPr>
        <w:t>25</w:t>
      </w:r>
      <w:r>
        <w:t>日正式开工建设，20</w:t>
      </w:r>
      <w:r>
        <w:rPr>
          <w:rFonts w:hint="eastAsia"/>
          <w:lang w:val="en-US" w:eastAsia="zh-CN"/>
        </w:rPr>
        <w:t>19</w:t>
      </w:r>
      <w:r>
        <w:t>年</w:t>
      </w:r>
      <w:r>
        <w:rPr>
          <w:rFonts w:hint="eastAsia"/>
          <w:lang w:val="en-US" w:eastAsia="zh-CN"/>
        </w:rPr>
        <w:t>11</w:t>
      </w:r>
      <w:r>
        <w:t>月</w:t>
      </w:r>
      <w:r>
        <w:rPr>
          <w:rFonts w:hint="eastAsia"/>
        </w:rPr>
        <w:t>1</w:t>
      </w:r>
      <w:r>
        <w:t>日工程基本建设完成，水土保持工程措施基本与主体同步实施，水土保持工程措施随着主体工程完工而完工。目前各项治理措施已完成，水土流失防治效果较好，各项治理措施完成到位。业主与各施工单位一起，将水土保持设施管理维护纳入工程日常维护中，主要体现在以下方面：</w:t>
      </w:r>
    </w:p>
    <w:p>
      <w:pPr>
        <w:spacing w:before="120"/>
        <w:ind w:firstLine="480"/>
      </w:pPr>
      <w:r>
        <w:t>（1）定期巡逻、检查</w:t>
      </w:r>
    </w:p>
    <w:p>
      <w:pPr>
        <w:spacing w:before="120"/>
        <w:ind w:firstLine="480"/>
      </w:pPr>
      <w:r>
        <w:t>由业主及监理单位监督，各区使用单位对工程涉及的各防治分区的排水设施和植物措施生长存活情况进行定期巡逻、检查，逐级落实岗位责任制，对出现淤塞的排水设施及时疏通，损坏的水土保持设施及时修复、加固，对林草措施及时进行抚育、补植、更新。</w:t>
      </w:r>
    </w:p>
    <w:p>
      <w:pPr>
        <w:spacing w:before="120"/>
        <w:ind w:firstLine="480"/>
      </w:pPr>
      <w:r>
        <w:t>（2）及时维护</w:t>
      </w:r>
    </w:p>
    <w:p>
      <w:pPr>
        <w:spacing w:before="120"/>
        <w:ind w:firstLine="480"/>
      </w:pPr>
      <w:r>
        <w:t>如果在检查过程中发现水土保持设施被破坏，派养护工作人员迅速对被损坏的设施进行修复、维护、加固，确保水土保持设施安全、高效地发挥水土保持效益。</w:t>
      </w:r>
    </w:p>
    <w:p>
      <w:pPr>
        <w:spacing w:before="120"/>
        <w:ind w:firstLine="480"/>
      </w:pPr>
      <w:r>
        <w:t>（3）制定应急预案</w:t>
      </w:r>
    </w:p>
    <w:p>
      <w:pPr>
        <w:spacing w:before="120"/>
        <w:ind w:firstLine="480"/>
      </w:pPr>
      <w:r>
        <w:t>为了保障工程安全，避免发生水土流失灾害，公司要求各参建单位专门制定了相关应急预案，要求在夏秋雨季加强对狂风暴雨等恶劣气候条件下应增加巡逻次数和高填方、易塌方等地段的监控，对可能涉及的截排水沟等要检查排水是否顺畅，并明确了在出现险情后各级机构、人员的职责以及处理程序。</w:t>
      </w:r>
    </w:p>
    <w:p>
      <w:pPr>
        <w:spacing w:before="120"/>
        <w:ind w:firstLine="480"/>
      </w:pPr>
      <w:r>
        <w:t>（4）档案管理</w:t>
      </w:r>
    </w:p>
    <w:p>
      <w:pPr>
        <w:spacing w:before="120"/>
        <w:ind w:firstLine="480"/>
      </w:pPr>
      <w:r>
        <w:t>公司为了做好工程</w:t>
      </w:r>
      <w:r>
        <w:rPr>
          <w:rFonts w:hint="eastAsia"/>
          <w:lang w:eastAsia="zh-CN"/>
        </w:rPr>
        <w:t>完工</w:t>
      </w:r>
      <w:r>
        <w:t>验收工作，专门抽调档案部专职人员负责相关水土保持设施设计、施工、监理等资料的管理。本项目水土保持方案、初步设计等及其相关批复文件已归档保存。</w:t>
      </w:r>
    </w:p>
    <w:p>
      <w:pPr>
        <w:spacing w:before="120"/>
        <w:ind w:firstLine="480"/>
      </w:pPr>
      <w:r>
        <w:t>水土保持工程验收后，运行期水土流失防治责任范围内的水土保持工程措施日常管理维护工作将随主体工程交由建设单位国网四川省电力公司甘孜供电公司负责。运营过程中，对防治分区内的排水设施进行定期检查，排水设施出现淤塞及时疏通，损坏的水土保持设施及时修复、加固。</w:t>
      </w:r>
    </w:p>
    <w:p>
      <w:pPr>
        <w:spacing w:before="120"/>
        <w:ind w:firstLine="480"/>
      </w:pPr>
      <w:r>
        <w:t>从目前运行情况看，水土保持工程管理责任明确，水土保持设施的正常运行得到了保证，取得了一定的效果。报告编制组认为，现行的水土保持管理符合水土保持工作的需要，可以保证水土保持设施正常运行，运行期管理责任是明确的。</w:t>
      </w:r>
    </w:p>
    <w:p>
      <w:pPr>
        <w:pStyle w:val="4"/>
        <w:spacing w:before="120"/>
      </w:pPr>
      <w:bookmarkStart w:id="217" w:name="_Toc22869"/>
      <w:bookmarkStart w:id="218" w:name="_Toc484280837"/>
      <w:bookmarkStart w:id="219" w:name="_Toc496268099"/>
      <w:bookmarkStart w:id="220" w:name="_Toc489977055"/>
      <w:bookmarkStart w:id="221" w:name="_Toc28024"/>
      <w:bookmarkStart w:id="222" w:name="_Toc515873373"/>
      <w:bookmarkStart w:id="223" w:name="_Toc11166"/>
      <w:r>
        <w:t>管理维护情况</w:t>
      </w:r>
      <w:bookmarkEnd w:id="217"/>
      <w:bookmarkEnd w:id="218"/>
      <w:bookmarkEnd w:id="219"/>
      <w:bookmarkEnd w:id="220"/>
      <w:bookmarkEnd w:id="221"/>
      <w:bookmarkEnd w:id="222"/>
      <w:bookmarkEnd w:id="223"/>
    </w:p>
    <w:p>
      <w:pPr>
        <w:spacing w:before="120"/>
        <w:ind w:firstLine="480"/>
      </w:pPr>
      <w:r>
        <w:t>本工程投产以来，建设单位按照运行管理规定，加强对防治责任范围内各项水土保持设施的管理维护，由专人负责不定期检查、清理截排水沟道内淤积的泥沙，督促施工单位实施绿化区域的洒水、施肥、除草等管护工作，质保期满后即由建设单位负责绿化植物的管护措施，以更好发挥植物绿化美化和水土保持效果。</w:t>
      </w:r>
    </w:p>
    <w:p>
      <w:pPr>
        <w:spacing w:before="120"/>
        <w:ind w:firstLine="480"/>
        <w:jc w:val="left"/>
        <w:sectPr>
          <w:headerReference r:id="rId31" w:type="default"/>
          <w:pgSz w:w="11906" w:h="16838"/>
          <w:pgMar w:top="1440" w:right="1800" w:bottom="1440" w:left="1800" w:header="708" w:footer="708" w:gutter="0"/>
          <w:pgNumType w:fmt="numberInDash"/>
          <w:cols w:space="708" w:num="1"/>
          <w:docGrid w:linePitch="381" w:charSpace="0"/>
        </w:sectPr>
      </w:pPr>
      <w:r>
        <w:t>根据现场调查情况，本项目水土保持工程管理责任明确，水土保持设施的正常运行得到了建设单位在制度、任务、经费上的有力保证，各水土保持措施满足开发建设项目水土保持技术规范、水土保持方案及批复的要求，各项水保设施得以持续运行，水保效益得以持续发挥。本工程水土保持设施投入试运行以来，排水设施得到了有效管护，运行正常；绿化植物已加强后期管护，确保了成活率，发挥了绿化美化和保持水土的双重作用，具备</w:t>
      </w:r>
      <w:r>
        <w:rPr>
          <w:rFonts w:hint="eastAsia"/>
          <w:lang w:eastAsia="zh-CN"/>
        </w:rPr>
        <w:t>完工</w:t>
      </w:r>
      <w:r>
        <w:t>验收条件。</w:t>
      </w:r>
    </w:p>
    <w:p>
      <w:pPr>
        <w:pStyle w:val="2"/>
      </w:pPr>
      <w:bookmarkStart w:id="224" w:name="_Toc515873374"/>
      <w:bookmarkStart w:id="225" w:name="_Toc28086"/>
      <w:r>
        <w:t>结论</w:t>
      </w:r>
      <w:bookmarkEnd w:id="224"/>
      <w:bookmarkEnd w:id="225"/>
    </w:p>
    <w:p>
      <w:pPr>
        <w:pStyle w:val="3"/>
        <w:spacing w:before="120" w:after="120"/>
        <w:rPr>
          <w:b/>
          <w:bCs/>
        </w:rPr>
      </w:pPr>
      <w:bookmarkStart w:id="226" w:name="_Toc515873375"/>
      <w:bookmarkStart w:id="227" w:name="_Toc8676"/>
      <w:r>
        <w:rPr>
          <w:b/>
          <w:bCs/>
        </w:rPr>
        <w:t>结论</w:t>
      </w:r>
      <w:bookmarkEnd w:id="226"/>
      <w:bookmarkEnd w:id="227"/>
    </w:p>
    <w:p>
      <w:pPr>
        <w:spacing w:before="120"/>
        <w:ind w:firstLine="480"/>
      </w:pPr>
      <w:r>
        <w:t>一、本工程</w:t>
      </w:r>
      <w:r>
        <w:rPr>
          <w:rFonts w:hint="eastAsia"/>
        </w:rPr>
        <w:t>位于甘孜州</w:t>
      </w:r>
      <w:r>
        <w:rPr>
          <w:rFonts w:hint="eastAsia"/>
          <w:lang w:eastAsia="zh-CN"/>
        </w:rPr>
        <w:t>雅江</w:t>
      </w:r>
      <w:r>
        <w:rPr>
          <w:rFonts w:hint="eastAsia"/>
        </w:rPr>
        <w:t>县境内</w:t>
      </w:r>
      <w:r>
        <w:t>。本项目总占地面积为</w:t>
      </w:r>
      <w:r>
        <w:rPr>
          <w:rFonts w:hint="eastAsia"/>
          <w:lang w:eastAsia="zh-CN"/>
        </w:rPr>
        <w:t>1.81</w:t>
      </w:r>
      <w:r>
        <w:t>hm</w:t>
      </w:r>
      <w:r>
        <w:rPr>
          <w:vertAlign w:val="superscript"/>
        </w:rPr>
        <w:t>2</w:t>
      </w:r>
      <w:r>
        <w:t>。工程于2019年</w:t>
      </w:r>
      <w:r>
        <w:rPr>
          <w:rFonts w:hint="eastAsia"/>
          <w:lang w:val="en-US" w:eastAsia="zh-CN"/>
        </w:rPr>
        <w:t>4</w:t>
      </w:r>
      <w:r>
        <w:t>月</w:t>
      </w:r>
      <w:r>
        <w:rPr>
          <w:rFonts w:hint="eastAsia"/>
          <w:lang w:val="en-US" w:eastAsia="zh-CN"/>
        </w:rPr>
        <w:t>25</w:t>
      </w:r>
      <w:r>
        <w:t>日正式开工建设，至20</w:t>
      </w:r>
      <w:r>
        <w:rPr>
          <w:rFonts w:hint="eastAsia"/>
          <w:lang w:val="en-US" w:eastAsia="zh-CN"/>
        </w:rPr>
        <w:t>19</w:t>
      </w:r>
      <w:r>
        <w:t>年</w:t>
      </w:r>
      <w:r>
        <w:rPr>
          <w:rFonts w:hint="eastAsia"/>
          <w:lang w:val="en-US" w:eastAsia="zh-CN"/>
        </w:rPr>
        <w:t>11</w:t>
      </w:r>
      <w:r>
        <w:t>月</w:t>
      </w:r>
      <w:r>
        <w:rPr>
          <w:rFonts w:hint="eastAsia"/>
        </w:rPr>
        <w:t>1</w:t>
      </w:r>
      <w:r>
        <w:t>日</w:t>
      </w:r>
      <w:r>
        <w:rPr>
          <w:rFonts w:hint="eastAsia"/>
          <w:lang w:eastAsia="zh-CN"/>
        </w:rPr>
        <w:t>完工</w:t>
      </w:r>
      <w:r>
        <w:t>，工程总工期</w:t>
      </w:r>
      <w:r>
        <w:rPr>
          <w:rFonts w:hint="eastAsia"/>
          <w:lang w:val="en-US" w:eastAsia="zh-CN"/>
        </w:rPr>
        <w:t>6</w:t>
      </w:r>
      <w:r>
        <w:t>个月。</w:t>
      </w:r>
      <w:r>
        <w:rPr>
          <w:color w:val="000000" w:themeColor="text1"/>
        </w:rPr>
        <w:t>工程实际总投资</w:t>
      </w:r>
      <w:r>
        <w:rPr>
          <w:rFonts w:hint="eastAsia"/>
          <w:color w:val="000000" w:themeColor="text1"/>
          <w:lang w:val="en-US" w:eastAsia="zh-CN"/>
        </w:rPr>
        <w:t>2218</w:t>
      </w:r>
      <w:r>
        <w:rPr>
          <w:color w:val="000000" w:themeColor="text1"/>
        </w:rPr>
        <w:t>万元；项</w:t>
      </w:r>
      <w:r>
        <w:t>目水土保持投资为</w:t>
      </w:r>
      <w:r>
        <w:rPr>
          <w:rFonts w:hint="eastAsia"/>
          <w:lang w:val="en-US" w:eastAsia="zh-CN"/>
        </w:rPr>
        <w:t>67.15</w:t>
      </w:r>
      <w:r>
        <w:t>万元（其中主体工程中具有水土保持功能的项目投资为</w:t>
      </w:r>
      <w:r>
        <w:rPr>
          <w:rFonts w:hint="eastAsia"/>
          <w:lang w:val="en-US" w:eastAsia="zh-CN"/>
        </w:rPr>
        <w:t>11.43</w:t>
      </w:r>
      <w:r>
        <w:t>万元，新增水土保持投资为</w:t>
      </w:r>
      <w:r>
        <w:rPr>
          <w:rFonts w:hint="eastAsia"/>
          <w:lang w:val="en-US" w:eastAsia="zh-CN"/>
        </w:rPr>
        <w:t>55.72</w:t>
      </w:r>
      <w:r>
        <w:t>万元）。</w:t>
      </w:r>
    </w:p>
    <w:p>
      <w:pPr>
        <w:spacing w:before="120"/>
        <w:ind w:firstLine="480"/>
      </w:pPr>
      <w:r>
        <w:t>二、在工程建设中，建设单位国网四川省电力公司甘孜供电公司对水土保持工作充分重视，开工前委托四川联合建设工程设计有限公司编制《</w:t>
      </w:r>
      <w:r>
        <w:rPr>
          <w:rFonts w:hint="eastAsia"/>
          <w:lang w:eastAsia="zh-CN"/>
        </w:rPr>
        <w:t>甘孜雅江柯拉35千伏输变电工程</w:t>
      </w:r>
      <w:r>
        <w:t>水土保持方案报告书》，2019年</w:t>
      </w:r>
      <w:r>
        <w:rPr>
          <w:rFonts w:hint="eastAsia"/>
          <w:lang w:val="en-US" w:eastAsia="zh-CN"/>
        </w:rPr>
        <w:t>3</w:t>
      </w:r>
      <w:r>
        <w:t>月</w:t>
      </w:r>
      <w:r>
        <w:rPr>
          <w:rFonts w:hint="eastAsia"/>
          <w:lang w:val="en-US" w:eastAsia="zh-CN"/>
        </w:rPr>
        <w:t>28日</w:t>
      </w:r>
      <w:r>
        <w:t>，</w:t>
      </w:r>
      <w:r>
        <w:rPr>
          <w:rFonts w:hint="eastAsia"/>
        </w:rPr>
        <w:t>甘孜州水利局以</w:t>
      </w:r>
      <w:r>
        <w:rPr>
          <w:rFonts w:hint="eastAsia" w:ascii="Times New Roman" w:hAnsi="Times New Roman" w:eastAsia="仿宋_GB2312" w:cs="Times New Roman"/>
          <w:kern w:val="2"/>
          <w:sz w:val="24"/>
          <w:szCs w:val="24"/>
          <w:lang w:val="en-US" w:eastAsia="zh-CN" w:bidi="ar"/>
        </w:rPr>
        <w:t>《关于对</w:t>
      </w:r>
      <w:r>
        <w:rPr>
          <w:rFonts w:hint="default" w:ascii="Times New Roman" w:hAnsi="Times New Roman" w:eastAsia="仿宋_GB2312" w:cs="Times New Roman"/>
          <w:kern w:val="2"/>
          <w:sz w:val="24"/>
          <w:szCs w:val="24"/>
          <w:lang w:val="en-US" w:eastAsia="zh-CN" w:bidi="ar"/>
        </w:rPr>
        <w:t>&lt;</w:t>
      </w:r>
      <w:r>
        <w:rPr>
          <w:rFonts w:hint="eastAsia" w:ascii="Times New Roman" w:hAnsi="Times New Roman" w:eastAsia="仿宋_GB2312" w:cs="Times New Roman"/>
          <w:kern w:val="2"/>
          <w:sz w:val="24"/>
          <w:szCs w:val="24"/>
          <w:lang w:val="en-US" w:eastAsia="zh-CN" w:bidi="ar"/>
        </w:rPr>
        <w:t>甘孜</w:t>
      </w:r>
      <w:r>
        <w:rPr>
          <w:rFonts w:hint="eastAsia" w:cs="Times New Roman"/>
          <w:kern w:val="2"/>
          <w:sz w:val="24"/>
          <w:szCs w:val="24"/>
          <w:lang w:val="en-US" w:eastAsia="zh-CN" w:bidi="ar"/>
        </w:rPr>
        <w:t>雅江柯拉</w:t>
      </w:r>
      <w:r>
        <w:rPr>
          <w:rFonts w:hint="default" w:ascii="Times New Roman" w:hAnsi="Times New Roman" w:eastAsia="仿宋_GB2312" w:cs="Times New Roman"/>
          <w:kern w:val="2"/>
          <w:sz w:val="24"/>
          <w:szCs w:val="24"/>
          <w:lang w:val="en-US" w:eastAsia="zh-CN" w:bidi="ar"/>
        </w:rPr>
        <w:t>35</w:t>
      </w:r>
      <w:r>
        <w:rPr>
          <w:rFonts w:hint="eastAsia" w:ascii="Times New Roman" w:hAnsi="Times New Roman" w:eastAsia="仿宋_GB2312" w:cs="Times New Roman"/>
          <w:kern w:val="2"/>
          <w:sz w:val="24"/>
          <w:szCs w:val="24"/>
          <w:lang w:val="en-US" w:eastAsia="zh-CN" w:bidi="ar"/>
        </w:rPr>
        <w:t>千伏输变电工程水土保持方案报告书</w:t>
      </w:r>
      <w:r>
        <w:rPr>
          <w:rFonts w:hint="default" w:ascii="Times New Roman" w:hAnsi="Times New Roman" w:eastAsia="仿宋_GB2312" w:cs="Times New Roman"/>
          <w:kern w:val="2"/>
          <w:sz w:val="24"/>
          <w:szCs w:val="24"/>
          <w:lang w:val="en-US" w:eastAsia="zh-CN" w:bidi="ar"/>
        </w:rPr>
        <w:t>&gt;</w:t>
      </w:r>
      <w:r>
        <w:rPr>
          <w:rFonts w:hint="eastAsia" w:ascii="Times New Roman" w:hAnsi="Times New Roman" w:eastAsia="仿宋_GB2312" w:cs="Times New Roman"/>
          <w:kern w:val="2"/>
          <w:sz w:val="24"/>
          <w:szCs w:val="24"/>
          <w:lang w:val="en-US" w:eastAsia="zh-CN" w:bidi="ar"/>
        </w:rPr>
        <w:t>的批复》（甘水审</w:t>
      </w:r>
      <w:r>
        <w:rPr>
          <w:rFonts w:hint="default" w:ascii="Times New Roman" w:hAnsi="Times New Roman" w:eastAsia="仿宋_GB2312" w:cs="Times New Roman"/>
          <w:kern w:val="2"/>
          <w:sz w:val="24"/>
          <w:szCs w:val="24"/>
          <w:lang w:val="en-US" w:eastAsia="zh-CN" w:bidi="ar"/>
        </w:rPr>
        <w:t>[2019]3</w:t>
      </w:r>
      <w:r>
        <w:rPr>
          <w:rFonts w:hint="eastAsia" w:cs="Times New Roman"/>
          <w:kern w:val="2"/>
          <w:sz w:val="24"/>
          <w:szCs w:val="24"/>
          <w:lang w:val="en-US" w:eastAsia="zh-CN" w:bidi="ar"/>
        </w:rPr>
        <w:t>4</w:t>
      </w:r>
      <w:r>
        <w:rPr>
          <w:rFonts w:hint="eastAsia" w:ascii="Times New Roman" w:hAnsi="Times New Roman" w:eastAsia="仿宋_GB2312" w:cs="Times New Roman"/>
          <w:kern w:val="2"/>
          <w:sz w:val="24"/>
          <w:szCs w:val="24"/>
          <w:lang w:val="en-US" w:eastAsia="zh-CN" w:bidi="ar"/>
        </w:rPr>
        <w:t>号）</w:t>
      </w:r>
      <w:r>
        <w:t>对方案报告书予以批复。本工程方案批复水土流失防治责任范围为</w:t>
      </w:r>
      <w:r>
        <w:rPr>
          <w:rFonts w:hint="eastAsia"/>
          <w:lang w:eastAsia="zh-CN"/>
        </w:rPr>
        <w:t>1.85</w:t>
      </w:r>
      <w:r>
        <w:t>hm</w:t>
      </w:r>
      <w:r>
        <w:rPr>
          <w:vertAlign w:val="superscript"/>
        </w:rPr>
        <w:t>2</w:t>
      </w:r>
      <w:r>
        <w:t>。通过对本工程水土保持方案实施后的实际情况调查，本工程实际水土流失防治责任范围面积为</w:t>
      </w:r>
      <w:r>
        <w:rPr>
          <w:rFonts w:hint="eastAsia"/>
          <w:lang w:eastAsia="zh-CN"/>
        </w:rPr>
        <w:t>1.81</w:t>
      </w:r>
      <w:r>
        <w:t>hm</w:t>
      </w:r>
      <w:r>
        <w:rPr>
          <w:vertAlign w:val="superscript"/>
        </w:rPr>
        <w:t>2</w:t>
      </w:r>
      <w:r>
        <w:t>。</w:t>
      </w:r>
    </w:p>
    <w:p>
      <w:pPr>
        <w:spacing w:before="120"/>
        <w:ind w:firstLine="480"/>
      </w:pPr>
      <w:r>
        <w:t>三、根据各防治分区的实际情况，工程分别采取了排水沟、表土剥离、覆土等工程措施；同时在施工期间将剥离后的表土统一安置并采取</w:t>
      </w:r>
      <w:r>
        <w:rPr>
          <w:rFonts w:hint="eastAsia"/>
        </w:rPr>
        <w:t>防雨布</w:t>
      </w:r>
      <w:r>
        <w:t>遮盖。通过现场查勘，水土流失防治分区合理，措施布置得当，有效地减少了工程建设新增水土流失。</w:t>
      </w:r>
    </w:p>
    <w:p>
      <w:pPr>
        <w:spacing w:before="120"/>
        <w:ind w:firstLine="480"/>
      </w:pPr>
      <w:r>
        <w:t>四、结合工程的实际情况和各个区域水土流失特点，整个项目可划分为3个单位工程，</w:t>
      </w:r>
      <w:r>
        <w:rPr>
          <w:rFonts w:hint="eastAsia"/>
        </w:rPr>
        <w:t>6</w:t>
      </w:r>
      <w:r>
        <w:t>个分部工程，</w:t>
      </w:r>
      <w:r>
        <w:rPr>
          <w:rFonts w:hint="eastAsia"/>
          <w:lang w:val="en-US" w:eastAsia="zh-CN"/>
        </w:rPr>
        <w:t>42</w:t>
      </w:r>
      <w:r>
        <w:t>个单元工程。报告编制组通过现场</w:t>
      </w:r>
      <w:r>
        <w:rPr>
          <w:rFonts w:hint="eastAsia"/>
        </w:rPr>
        <w:t>踏勘</w:t>
      </w:r>
      <w:r>
        <w:t>、抽样调查，并经认真分析讨论，认为本工程水土保持方案得到了全面有效的实施，水土保持措施全部完成，部分优良，总体合格，运行效果良好。目前为止，水土保持设施基本完好，未出现大的质量问题。水土保持生态环境建设明显，基本控制了项目建设区内水土流失。</w:t>
      </w:r>
    </w:p>
    <w:p>
      <w:pPr>
        <w:spacing w:before="120"/>
        <w:ind w:firstLine="480"/>
      </w:pPr>
      <w:r>
        <w:t>五、</w:t>
      </w:r>
      <w:r>
        <w:rPr>
          <w:color w:val="000000" w:themeColor="text1"/>
        </w:rPr>
        <w:t>对工程水土流失防治责任范围内的水土保持状况进行现场查验，对主要防治指标进行核算，建设单位通过实施水土流失防治措施，</w:t>
      </w:r>
      <w:r>
        <w:rPr>
          <w:rFonts w:hint="eastAsia"/>
          <w:color w:val="000000" w:themeColor="text1"/>
          <w:lang w:val="en-US" w:eastAsia="zh-CN"/>
        </w:rPr>
        <w:t>本次验收阶段</w:t>
      </w:r>
      <w:r>
        <w:rPr>
          <w:rFonts w:hint="eastAsia" w:ascii="Times New Roman" w:hAnsi="Times New Roman" w:eastAsia="仿宋_GB2312" w:cs="Times New Roman"/>
          <w:kern w:val="2"/>
          <w:sz w:val="24"/>
          <w:szCs w:val="24"/>
          <w:lang w:val="en-US" w:eastAsia="zh-CN" w:bidi="ar"/>
        </w:rPr>
        <w:t>扰动土地整治率达</w:t>
      </w:r>
      <w:r>
        <w:rPr>
          <w:rFonts w:hint="default" w:ascii="Times New Roman" w:hAnsi="Times New Roman" w:eastAsia="仿宋_GB2312" w:cs="Times New Roman"/>
          <w:kern w:val="2"/>
          <w:sz w:val="24"/>
          <w:szCs w:val="24"/>
          <w:lang w:val="en-US" w:eastAsia="zh-CN" w:bidi="ar"/>
        </w:rPr>
        <w:t>9</w:t>
      </w:r>
      <w:r>
        <w:rPr>
          <w:rFonts w:hint="eastAsia" w:cs="Times New Roman"/>
          <w:kern w:val="2"/>
          <w:sz w:val="24"/>
          <w:szCs w:val="24"/>
          <w:lang w:val="en-US" w:eastAsia="zh-CN" w:bidi="ar"/>
        </w:rPr>
        <w:t>7.24</w:t>
      </w:r>
      <w:r>
        <w:rPr>
          <w:rFonts w:hint="default" w:ascii="Times New Roman" w:hAnsi="Times New Roman" w:eastAsia="仿宋_GB2312" w:cs="Times New Roman"/>
          <w:kern w:val="2"/>
          <w:sz w:val="24"/>
          <w:szCs w:val="24"/>
          <w:lang w:val="en-US" w:eastAsia="zh-CN" w:bidi="ar"/>
        </w:rPr>
        <w:t>%</w:t>
      </w:r>
      <w:r>
        <w:rPr>
          <w:rFonts w:hint="eastAsia" w:ascii="Times New Roman" w:hAnsi="Times New Roman" w:eastAsia="仿宋_GB2312" w:cs="Times New Roman"/>
          <w:kern w:val="2"/>
          <w:sz w:val="24"/>
          <w:szCs w:val="24"/>
          <w:lang w:val="en-US" w:eastAsia="zh-CN" w:bidi="ar"/>
        </w:rPr>
        <w:t>，水土流失总治理度达</w:t>
      </w:r>
      <w:r>
        <w:rPr>
          <w:rFonts w:hint="default" w:ascii="Times New Roman" w:hAnsi="Times New Roman" w:eastAsia="仿宋_GB2312" w:cs="Times New Roman"/>
          <w:kern w:val="2"/>
          <w:sz w:val="24"/>
          <w:szCs w:val="24"/>
          <w:lang w:val="en-US" w:eastAsia="zh-CN" w:bidi="ar"/>
        </w:rPr>
        <w:t>9</w:t>
      </w:r>
      <w:r>
        <w:rPr>
          <w:rFonts w:hint="eastAsia" w:cs="Times New Roman"/>
          <w:kern w:val="2"/>
          <w:sz w:val="24"/>
          <w:szCs w:val="24"/>
          <w:lang w:val="en-US" w:eastAsia="zh-CN" w:bidi="ar"/>
        </w:rPr>
        <w:t>6.69</w:t>
      </w:r>
      <w:r>
        <w:rPr>
          <w:rFonts w:hint="default" w:ascii="Times New Roman" w:hAnsi="Times New Roman" w:eastAsia="仿宋_GB2312" w:cs="Times New Roman"/>
          <w:kern w:val="2"/>
          <w:sz w:val="24"/>
          <w:szCs w:val="24"/>
          <w:lang w:val="en-US" w:eastAsia="zh-CN" w:bidi="ar"/>
        </w:rPr>
        <w:t>%</w:t>
      </w:r>
      <w:r>
        <w:rPr>
          <w:rFonts w:hint="eastAsia" w:ascii="Times New Roman" w:hAnsi="Times New Roman" w:eastAsia="仿宋_GB2312" w:cs="Times New Roman"/>
          <w:kern w:val="2"/>
          <w:sz w:val="24"/>
          <w:szCs w:val="24"/>
          <w:lang w:val="en-US" w:eastAsia="zh-CN" w:bidi="ar"/>
        </w:rPr>
        <w:t>，土壤流失控制比达</w:t>
      </w:r>
      <w:r>
        <w:rPr>
          <w:rFonts w:hint="default" w:ascii="Times New Roman" w:hAnsi="Times New Roman" w:eastAsia="仿宋_GB2312" w:cs="Times New Roman"/>
          <w:kern w:val="2"/>
          <w:sz w:val="24"/>
          <w:szCs w:val="24"/>
          <w:lang w:val="en-US" w:eastAsia="zh-CN" w:bidi="ar"/>
        </w:rPr>
        <w:t>1.0</w:t>
      </w:r>
      <w:r>
        <w:rPr>
          <w:rFonts w:hint="eastAsia" w:ascii="Times New Roman" w:hAnsi="Times New Roman" w:eastAsia="仿宋_GB2312" w:cs="Times New Roman"/>
          <w:kern w:val="2"/>
          <w:sz w:val="24"/>
          <w:szCs w:val="24"/>
          <w:lang w:val="en-US" w:eastAsia="zh-CN" w:bidi="ar"/>
        </w:rPr>
        <w:t>，拦渣率达</w:t>
      </w:r>
      <w:r>
        <w:rPr>
          <w:rFonts w:hint="default" w:ascii="Times New Roman" w:hAnsi="Times New Roman" w:eastAsia="仿宋_GB2312" w:cs="Times New Roman"/>
          <w:kern w:val="2"/>
          <w:sz w:val="24"/>
          <w:szCs w:val="24"/>
          <w:lang w:val="en-US" w:eastAsia="zh-CN" w:bidi="ar"/>
        </w:rPr>
        <w:t>9</w:t>
      </w:r>
      <w:r>
        <w:rPr>
          <w:rFonts w:hint="eastAsia" w:cs="Times New Roman"/>
          <w:kern w:val="2"/>
          <w:sz w:val="24"/>
          <w:szCs w:val="24"/>
          <w:lang w:val="en-US" w:eastAsia="zh-CN" w:bidi="ar"/>
        </w:rPr>
        <w:t>6.5</w:t>
      </w:r>
      <w:r>
        <w:rPr>
          <w:rFonts w:hint="default" w:ascii="Times New Roman" w:hAnsi="Times New Roman" w:eastAsia="仿宋_GB2312" w:cs="Times New Roman"/>
          <w:kern w:val="2"/>
          <w:sz w:val="24"/>
          <w:szCs w:val="24"/>
          <w:lang w:val="en-US" w:eastAsia="zh-CN" w:bidi="ar"/>
        </w:rPr>
        <w:t>%</w:t>
      </w:r>
      <w:r>
        <w:rPr>
          <w:rFonts w:hint="eastAsia" w:ascii="Times New Roman" w:hAnsi="Times New Roman" w:eastAsia="仿宋_GB2312" w:cs="Times New Roman"/>
          <w:kern w:val="2"/>
          <w:sz w:val="24"/>
          <w:szCs w:val="24"/>
          <w:lang w:val="en-US" w:eastAsia="zh-CN" w:bidi="ar"/>
        </w:rPr>
        <w:t>，林草植被恢复率达</w:t>
      </w:r>
      <w:r>
        <w:rPr>
          <w:rFonts w:hint="default" w:ascii="Times New Roman" w:hAnsi="Times New Roman" w:eastAsia="仿宋_GB2312" w:cs="Times New Roman"/>
          <w:kern w:val="2"/>
          <w:sz w:val="24"/>
          <w:szCs w:val="24"/>
          <w:lang w:val="en-US" w:eastAsia="zh-CN" w:bidi="ar"/>
        </w:rPr>
        <w:t>9</w:t>
      </w:r>
      <w:r>
        <w:rPr>
          <w:rFonts w:hint="eastAsia" w:cs="Times New Roman"/>
          <w:kern w:val="2"/>
          <w:sz w:val="24"/>
          <w:szCs w:val="24"/>
          <w:lang w:val="en-US" w:eastAsia="zh-CN" w:bidi="ar"/>
        </w:rPr>
        <w:t>9.35</w:t>
      </w:r>
      <w:r>
        <w:rPr>
          <w:rFonts w:hint="default" w:ascii="Times New Roman" w:hAnsi="Times New Roman" w:eastAsia="仿宋_GB2312" w:cs="Times New Roman"/>
          <w:kern w:val="2"/>
          <w:sz w:val="24"/>
          <w:szCs w:val="24"/>
          <w:lang w:val="en-US" w:eastAsia="zh-CN" w:bidi="ar"/>
        </w:rPr>
        <w:t>%</w:t>
      </w:r>
      <w:r>
        <w:rPr>
          <w:rFonts w:hint="eastAsia" w:ascii="Times New Roman" w:hAnsi="Times New Roman" w:eastAsia="仿宋_GB2312" w:cs="Times New Roman"/>
          <w:kern w:val="2"/>
          <w:sz w:val="24"/>
          <w:szCs w:val="24"/>
          <w:lang w:val="en-US" w:eastAsia="zh-CN" w:bidi="ar"/>
        </w:rPr>
        <w:t>，林草覆盖率达</w:t>
      </w:r>
      <w:r>
        <w:rPr>
          <w:rFonts w:hint="eastAsia" w:cs="Times New Roman"/>
          <w:kern w:val="2"/>
          <w:sz w:val="24"/>
          <w:szCs w:val="24"/>
          <w:lang w:val="en-US" w:eastAsia="zh-CN" w:bidi="ar"/>
        </w:rPr>
        <w:t>39.23</w:t>
      </w:r>
      <w:r>
        <w:rPr>
          <w:rFonts w:hint="default" w:ascii="Times New Roman" w:hAnsi="Times New Roman" w:eastAsia="仿宋_GB2312" w:cs="Times New Roman"/>
          <w:kern w:val="2"/>
          <w:sz w:val="24"/>
          <w:szCs w:val="24"/>
          <w:lang w:val="en-US" w:eastAsia="zh-CN" w:bidi="ar"/>
        </w:rPr>
        <w:t>%</w:t>
      </w:r>
      <w:r>
        <w:rPr>
          <w:color w:val="000000" w:themeColor="text1"/>
        </w:rPr>
        <w:t>，六项防治指标均达到方案确定的目标值，水土保持效果显著。</w:t>
      </w:r>
    </w:p>
    <w:p>
      <w:pPr>
        <w:spacing w:before="120"/>
        <w:ind w:firstLine="480"/>
        <w:rPr>
          <w:szCs w:val="28"/>
        </w:rPr>
      </w:pPr>
      <w:r>
        <w:t>综上所述，报告编制组认为：国网四川省电力公司甘孜供电公司在工程建设中对水土保持工作充分重视，按照水土保持法律、法规的要求，编报了水土保持方案报告书，并通过甘孜州水利局审查批复。为进一步落实方案设计的各项措施，建设单位将水土保持措施纳入到主体工程的招投标和施工组织设计中，明确了建设过程中的项目法人、施工单位和监理单位各自的水土保持职责，建立了有效的内部管理制度，工作规程，财务管理办法，档案管理制度等，保证了水土保持工程在保证质量的前提下按时完成。工程所实施的水土保持措施质量合格，运行情况良好，水土保持效益明显，财务制度规范、齐全，水土保持投资落实到位，各项工程支出合理，后期水土保持设施的管理维护责任明确，达到了设计标准和防治目标的要求，符合验收条件，可以进行建设期的水土保持</w:t>
      </w:r>
      <w:r>
        <w:rPr>
          <w:rFonts w:hint="eastAsia"/>
          <w:lang w:eastAsia="zh-CN"/>
        </w:rPr>
        <w:t>完工</w:t>
      </w:r>
      <w:r>
        <w:t>验收</w:t>
      </w:r>
      <w:r>
        <w:rPr>
          <w:szCs w:val="28"/>
        </w:rPr>
        <w:t>。</w:t>
      </w:r>
    </w:p>
    <w:p>
      <w:pPr>
        <w:pStyle w:val="3"/>
        <w:spacing w:before="120" w:after="120"/>
        <w:rPr>
          <w:b/>
          <w:bCs/>
        </w:rPr>
      </w:pPr>
      <w:bookmarkStart w:id="228" w:name="_Toc27482"/>
      <w:bookmarkStart w:id="229" w:name="_Toc515873376"/>
      <w:r>
        <w:rPr>
          <w:b/>
          <w:bCs/>
        </w:rPr>
        <w:t>遗留问题安排</w:t>
      </w:r>
      <w:bookmarkEnd w:id="228"/>
      <w:bookmarkEnd w:id="229"/>
    </w:p>
    <w:p>
      <w:pPr>
        <w:spacing w:before="120"/>
        <w:ind w:firstLine="480"/>
      </w:pPr>
      <w:r>
        <w:rPr>
          <w:rFonts w:hint="eastAsia"/>
          <w:lang w:eastAsia="zh-CN"/>
        </w:rPr>
        <w:t>甘孜雅江柯拉35千伏输变电工程</w:t>
      </w:r>
      <w:r>
        <w:t>施工过程中，建设单位一直都比较注重水土保持工作的进行，在防治水土流失方面也取得了一定的成效，但是还存在一些问题，为此提出以下建议：</w:t>
      </w:r>
    </w:p>
    <w:p>
      <w:pPr>
        <w:widowControl w:val="0"/>
        <w:numPr>
          <w:ilvl w:val="0"/>
          <w:numId w:val="6"/>
        </w:numPr>
        <w:adjustRightInd/>
        <w:snapToGrid/>
        <w:spacing w:before="120"/>
        <w:ind w:firstLine="480"/>
      </w:pPr>
      <w:r>
        <w:t>就目前来看，水土保持设施基本运行正常。为保证各项水土保持设施持续发挥作用，工程运行管理单位及相关人员需结合工程实际，加强对项目运行期的水土保持设施的管理，确保水土保持设施的运行安全和稳定，充分发挥效益。</w:t>
      </w:r>
    </w:p>
    <w:p>
      <w:pPr>
        <w:widowControl w:val="0"/>
        <w:numPr>
          <w:ilvl w:val="0"/>
          <w:numId w:val="6"/>
        </w:numPr>
        <w:adjustRightInd/>
        <w:snapToGrid/>
        <w:spacing w:before="120"/>
        <w:ind w:firstLine="480"/>
      </w:pPr>
      <w:r>
        <w:t>因项目区地势、气候等原因，项目区部分区域植被长势或恢复情况较差，建议运行单位加强对绿化区域的管护，及时对秃斑区域进行补植。</w:t>
      </w:r>
    </w:p>
    <w:p>
      <w:pPr>
        <w:widowControl w:val="0"/>
        <w:numPr>
          <w:ilvl w:val="0"/>
          <w:numId w:val="6"/>
        </w:numPr>
        <w:adjustRightInd/>
        <w:snapToGrid/>
        <w:spacing w:before="120"/>
        <w:ind w:firstLine="480"/>
      </w:pPr>
      <w:r>
        <w:rPr>
          <w:rFonts w:hint="eastAsia"/>
        </w:rPr>
        <w:t>部分塔基区域土地整治情况较差，部分区域临时土方未平整完全，建议建设单位及时对未平整区域进行整改。</w:t>
      </w:r>
    </w:p>
    <w:p>
      <w:pPr>
        <w:widowControl w:val="0"/>
        <w:numPr>
          <w:ilvl w:val="0"/>
          <w:numId w:val="6"/>
        </w:numPr>
        <w:adjustRightInd/>
        <w:snapToGrid/>
        <w:spacing w:before="120"/>
        <w:ind w:firstLine="480"/>
      </w:pPr>
      <w:r>
        <w:t>加强与市、县水行政主管部门的沟通和联系，接收并积极配合当地水行政主管部门的监督检查，进一步健全水土保持工作的管理制度，使水土保持工作规范化、制度化和长期化。</w:t>
      </w:r>
    </w:p>
    <w:p>
      <w:pPr>
        <w:widowControl w:val="0"/>
        <w:numPr>
          <w:ilvl w:val="0"/>
          <w:numId w:val="6"/>
        </w:numPr>
        <w:adjustRightInd/>
        <w:snapToGrid/>
        <w:spacing w:before="120"/>
        <w:ind w:firstLine="480"/>
      </w:pPr>
      <w:r>
        <w:t>做好重要资料的保存和归档，以便以后查阅。</w:t>
      </w:r>
    </w:p>
    <w:p>
      <w:pPr>
        <w:spacing w:before="120"/>
        <w:ind w:firstLine="480"/>
        <w:jc w:val="left"/>
        <w:sectPr>
          <w:headerReference r:id="rId32" w:type="default"/>
          <w:pgSz w:w="11906" w:h="16838"/>
          <w:pgMar w:top="1440" w:right="1800" w:bottom="1440" w:left="1800" w:header="708" w:footer="708" w:gutter="0"/>
          <w:pgNumType w:fmt="numberInDash"/>
          <w:cols w:space="708" w:num="1"/>
          <w:docGrid w:linePitch="381" w:charSpace="0"/>
        </w:sectPr>
      </w:pPr>
    </w:p>
    <w:p>
      <w:pPr>
        <w:pStyle w:val="2"/>
      </w:pPr>
      <w:bookmarkStart w:id="230" w:name="_Toc515873377"/>
      <w:bookmarkStart w:id="231" w:name="_Toc510621524"/>
      <w:bookmarkStart w:id="232" w:name="_Toc15084"/>
      <w:bookmarkStart w:id="233" w:name="_Toc505007946"/>
      <w:bookmarkStart w:id="234" w:name="_Toc514770161"/>
      <w:r>
        <w:t>附件及附图</w:t>
      </w:r>
      <w:bookmarkEnd w:id="230"/>
      <w:bookmarkEnd w:id="231"/>
      <w:bookmarkEnd w:id="232"/>
      <w:bookmarkEnd w:id="233"/>
      <w:bookmarkEnd w:id="234"/>
    </w:p>
    <w:p>
      <w:pPr>
        <w:pStyle w:val="3"/>
        <w:spacing w:before="120" w:after="120"/>
      </w:pPr>
      <w:bookmarkStart w:id="235" w:name="_Toc510621525"/>
      <w:bookmarkStart w:id="236" w:name="_Toc515873378"/>
      <w:bookmarkStart w:id="237" w:name="_Toc514770162"/>
      <w:bookmarkStart w:id="238" w:name="_Toc28298"/>
      <w:r>
        <w:t>附件</w:t>
      </w:r>
      <w:bookmarkEnd w:id="235"/>
      <w:bookmarkEnd w:id="236"/>
      <w:bookmarkEnd w:id="237"/>
      <w:bookmarkEnd w:id="238"/>
    </w:p>
    <w:p>
      <w:pPr>
        <w:spacing w:before="120"/>
        <w:ind w:firstLine="480"/>
      </w:pPr>
      <w:r>
        <w:t>（1）项目建设及水土保持大事记；</w:t>
      </w:r>
    </w:p>
    <w:p>
      <w:pPr>
        <w:spacing w:before="120"/>
        <w:ind w:firstLine="480"/>
      </w:pPr>
      <w:r>
        <w:t>（2）</w:t>
      </w:r>
      <w:r>
        <w:rPr>
          <w:rFonts w:hint="eastAsia"/>
        </w:rPr>
        <w:t>项目核准</w:t>
      </w:r>
      <w:r>
        <w:t>批复；</w:t>
      </w:r>
    </w:p>
    <w:p>
      <w:pPr>
        <w:spacing w:before="120"/>
        <w:ind w:firstLine="480"/>
      </w:pPr>
      <w:r>
        <w:t>（</w:t>
      </w:r>
      <w:r>
        <w:rPr>
          <w:rFonts w:hint="eastAsia"/>
        </w:rPr>
        <w:t>3</w:t>
      </w:r>
      <w:r>
        <w:t>）</w:t>
      </w:r>
      <w:r>
        <w:rPr>
          <w:rFonts w:hint="eastAsia"/>
          <w:lang w:val="en-US" w:eastAsia="zh-CN"/>
        </w:rPr>
        <w:t>项目水保批复</w:t>
      </w:r>
      <w:r>
        <w:t>；</w:t>
      </w:r>
    </w:p>
    <w:p>
      <w:pPr>
        <w:spacing w:before="120"/>
        <w:ind w:firstLine="480"/>
      </w:pPr>
      <w:r>
        <w:rPr>
          <w:rFonts w:hint="eastAsia"/>
        </w:rPr>
        <w:t>（4）分部工程和单位工程验收签证资料；</w:t>
      </w:r>
    </w:p>
    <w:p>
      <w:pPr>
        <w:spacing w:before="120"/>
        <w:ind w:firstLine="480"/>
      </w:pPr>
      <w:r>
        <w:t>（</w:t>
      </w:r>
      <w:r>
        <w:rPr>
          <w:rFonts w:hint="eastAsia"/>
        </w:rPr>
        <w:t>5</w:t>
      </w:r>
      <w:r>
        <w:t>）重要水土保持单位工程验收照片；</w:t>
      </w:r>
    </w:p>
    <w:p>
      <w:pPr>
        <w:spacing w:before="120"/>
        <w:ind w:firstLine="480"/>
      </w:pPr>
      <w:r>
        <w:rPr>
          <w:rFonts w:hint="eastAsia"/>
        </w:rPr>
        <w:t>（6）补偿费缴纳凭证；</w:t>
      </w:r>
    </w:p>
    <w:p>
      <w:pPr>
        <w:spacing w:before="120"/>
        <w:ind w:firstLine="480"/>
      </w:pPr>
      <w:r>
        <w:rPr>
          <w:rFonts w:hint="eastAsia"/>
        </w:rPr>
        <w:t>（7）水保自主验收网站公示截图。</w:t>
      </w:r>
    </w:p>
    <w:p>
      <w:pPr>
        <w:pStyle w:val="3"/>
        <w:spacing w:before="120" w:after="120"/>
      </w:pPr>
      <w:bookmarkStart w:id="239" w:name="_Toc14880"/>
      <w:bookmarkStart w:id="240" w:name="_Toc514770163"/>
      <w:bookmarkStart w:id="241" w:name="_Toc515873379"/>
      <w:bookmarkStart w:id="242" w:name="_Toc510621526"/>
      <w:r>
        <w:t>附图</w:t>
      </w:r>
      <w:bookmarkEnd w:id="239"/>
      <w:bookmarkEnd w:id="240"/>
      <w:bookmarkEnd w:id="241"/>
      <w:bookmarkEnd w:id="242"/>
    </w:p>
    <w:p>
      <w:pPr>
        <w:spacing w:before="120"/>
        <w:ind w:firstLine="480"/>
      </w:pPr>
      <w:r>
        <w:t>（1）地理位置图；</w:t>
      </w:r>
    </w:p>
    <w:p>
      <w:pPr>
        <w:spacing w:before="120"/>
        <w:ind w:firstLine="480"/>
      </w:pPr>
      <w:r>
        <w:t>（2）</w:t>
      </w:r>
      <w:r>
        <w:rPr>
          <w:rFonts w:hint="eastAsia"/>
        </w:rPr>
        <w:t>水土流失防治责任范围及水土保持措施布设</w:t>
      </w:r>
      <w:r>
        <w:rPr>
          <w:rFonts w:hint="eastAsia"/>
          <w:lang w:eastAsia="zh-CN"/>
        </w:rPr>
        <w:t>完工</w:t>
      </w:r>
      <w:r>
        <w:rPr>
          <w:rFonts w:hint="eastAsia"/>
        </w:rPr>
        <w:t>验收图。</w:t>
      </w:r>
    </w:p>
    <w:sectPr>
      <w:headerReference r:id="rId33" w:type="default"/>
      <w:pgSz w:w="11906" w:h="16838"/>
      <w:pgMar w:top="1440" w:right="1800" w:bottom="1440" w:left="1800" w:header="708" w:footer="708" w:gutter="0"/>
      <w:pgNumType w:fmt="numberInDash"/>
      <w:cols w:space="708" w:num="1"/>
      <w:docGrid w:linePitch="381" w:charSpace="0"/>
    </w:sectPr>
  </w:body>
</w:document>
</file>

<file path=word/customizations.xml><?xml version="1.0" encoding="utf-8"?>
<wne:tcg xmlns:r="http://schemas.openxmlformats.org/officeDocument/2006/relationships" xmlns:wne="http://schemas.microsoft.com/office/word/2006/wordml">
  <wne:keymaps>
    <wne:keymap wne:kcmPrimary="0434">
      <wne:acd wne:acdName="acd0"/>
    </wne:keymap>
    <wne:keymap wne:kcmPrimary="0441">
      <wne:acd wne:acdName="acd1"/>
    </wne:keymap>
    <wne:keymap wne:kcmPrimary="0445">
      <wne:acd wne:acdName="acd2"/>
    </wne:keymap>
    <wne:keymap wne:kcmPrimary="0451">
      <wne:acd wne:acdName="acd3"/>
    </wne:keymap>
    <wne:keymap wne:kcmPrimary="0452">
      <wne:acd wne:acdName="acd4"/>
    </wne:keymap>
  </wne:keymaps>
  <wne:acds>
    <wne:acd wne:argValue="AQAAAAQA" wne:acdName="acd0" wne:fciIndexBasedOn="0065"/>
    <wne:acd wne:argValue="AQAAAAAA" wne:acdName="acd1" wne:fciIndexBasedOn="0065"/>
    <wne:acd wne:argValue="AgBja4dlh2UsZyl/248sAAdomJgI/2iIPGgJ/w==" wne:acdName="acd2" wne:fciIndexBasedOn="0065"/>
    <wne:acd wne:argValue="AgAVXyh1LABja4dlMQA=" wne:acdName="acd3" wne:fciIndexBasedOn="0065"/>
    <wne:acd wne:argValue="AgBoiA==" wne:acdName="acd4"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金山简魏碑">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方正北魏楷书简体">
    <w:altName w:val="黑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120"/>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577192"/>
    </w:sdtPr>
    <w:sdtContent>
      <w:p>
        <w:pPr>
          <w:pStyle w:val="23"/>
          <w:spacing w:before="120"/>
          <w:ind w:firstLine="360"/>
          <w:jc w:val="center"/>
        </w:pPr>
        <w:r>
          <w:fldChar w:fldCharType="begin"/>
        </w:r>
        <w:r>
          <w:instrText xml:space="preserve"> PAGE   \* MERGEFORMAT </w:instrText>
        </w:r>
        <w:r>
          <w:fldChar w:fldCharType="separate"/>
        </w:r>
        <w:r>
          <w:rPr>
            <w:lang w:val="zh-CN"/>
          </w:rPr>
          <w:t>IV</w:t>
        </w:r>
        <w:r>
          <w:rPr>
            <w:lang w:val="zh-CN"/>
          </w:rPr>
          <w:fldChar w:fldCharType="end"/>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9992095"/>
    </w:sdtPr>
    <w:sdtContent>
      <w:p>
        <w:pPr>
          <w:pStyle w:val="23"/>
          <w:spacing w:before="120"/>
          <w:ind w:firstLine="0" w:firstLineChars="0"/>
          <w:jc w:val="center"/>
        </w:pPr>
        <w:r>
          <w:fldChar w:fldCharType="begin"/>
        </w:r>
        <w:r>
          <w:instrText xml:space="preserve"> PAGE   \* MERGEFORMAT </w:instrText>
        </w:r>
        <w:r>
          <w:fldChar w:fldCharType="separate"/>
        </w:r>
        <w:r>
          <w:rPr>
            <w:lang w:val="zh-CN"/>
          </w:rPr>
          <w:t>2</w:t>
        </w:r>
        <w:r>
          <w:rPr>
            <w:lang w:val="zh-CN"/>
          </w:rPr>
          <w:fldChar w:fldCharType="end"/>
        </w:r>
      </w:p>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4496452"/>
    </w:sdtPr>
    <w:sdtContent>
      <w:p>
        <w:pPr>
          <w:pStyle w:val="23"/>
          <w:pBdr>
            <w:top w:val="single" w:color="auto" w:sz="4" w:space="1"/>
          </w:pBdr>
          <w:spacing w:before="120"/>
          <w:ind w:firstLine="0" w:firstLineChars="0"/>
          <w:jc w:val="center"/>
        </w:pPr>
        <w:r>
          <w:pict>
            <v:shape id="_x0000_s41986" o:spid="_x0000_s41986" o:spt="202" type="#_x0000_t202" style="position:absolute;left:0pt;margin-left:269.7pt;margin-top:-0.6pt;height:23.5pt;width:234.2pt;z-index:251658240;mso-width-relative:page;mso-height-relative:page;" filled="f" stroked="f" coordsize="21600,21600">
              <v:path/>
              <v:fill on="f" focussize="0,0"/>
              <v:stroke on="f" joinstyle="miter"/>
              <v:imagedata o:title=""/>
              <o:lock v:ext="edit"/>
              <v:textbox>
                <w:txbxContent>
                  <w:p>
                    <w:pPr>
                      <w:spacing w:before="120"/>
                      <w:ind w:firstLine="360"/>
                      <w:rPr>
                        <w:szCs w:val="18"/>
                      </w:rPr>
                    </w:pPr>
                    <w:r>
                      <w:rPr>
                        <w:rFonts w:hint="eastAsia"/>
                        <w:sz w:val="18"/>
                        <w:szCs w:val="18"/>
                      </w:rPr>
                      <w:t>浙江中水工程技术有限公司</w:t>
                    </w:r>
                  </w:p>
                </w:txbxContent>
              </v:textbox>
            </v:shape>
          </w:pict>
        </w:r>
        <w:r>
          <w:fldChar w:fldCharType="begin"/>
        </w:r>
        <w:r>
          <w:instrText xml:space="preserve"> PAGE   \* MERGEFORMAT </w:instrText>
        </w:r>
        <w:r>
          <w:fldChar w:fldCharType="separate"/>
        </w:r>
        <w:r>
          <w:rPr>
            <w:lang w:val="zh-CN"/>
          </w:rPr>
          <w:t>-</w:t>
        </w:r>
        <w:r>
          <w:t xml:space="preserve"> 22 -</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12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552408"/>
    </w:sdtPr>
    <w:sdtContent>
      <w:p>
        <w:pPr>
          <w:pStyle w:val="23"/>
          <w:spacing w:before="120"/>
          <w:ind w:firstLine="360"/>
          <w:jc w:val="center"/>
        </w:pPr>
      </w:p>
    </w:sdtContent>
  </w:sdt>
  <w:p>
    <w:pPr>
      <w:pStyle w:val="23"/>
      <w:spacing w:before="120"/>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120"/>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120"/>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6117417"/>
    </w:sdtPr>
    <w:sdtContent>
      <w:p>
        <w:pPr>
          <w:pStyle w:val="23"/>
          <w:spacing w:before="120"/>
          <w:ind w:firstLine="360"/>
          <w:jc w:val="center"/>
        </w:pPr>
        <w:r>
          <w:fldChar w:fldCharType="begin"/>
        </w:r>
        <w:r>
          <w:instrText xml:space="preserve"> PAGE   \* MERGEFORMAT </w:instrText>
        </w:r>
        <w:r>
          <w:fldChar w:fldCharType="separate"/>
        </w:r>
        <w:r>
          <w:rPr>
            <w:lang w:val="zh-CN"/>
          </w:rPr>
          <w:t>III</w:t>
        </w:r>
        <w:r>
          <w:rPr>
            <w:lang w:val="zh-CN"/>
          </w:rPr>
          <w:fldChar w:fldCharType="end"/>
        </w:r>
      </w:p>
    </w:sdtContent>
  </w:sdt>
  <w:p>
    <w:pPr>
      <w:pStyle w:val="23"/>
      <w:spacing w:before="120"/>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120"/>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120"/>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spacing w:before="120"/>
      <w:ind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single" w:color="auto" w:sz="4" w:space="1"/>
      </w:pBdr>
      <w:spacing w:before="120" w:line="240" w:lineRule="auto"/>
      <w:ind w:firstLine="0" w:firstLineChars="0"/>
    </w:pPr>
    <w:r>
      <w:t>水土保持设施</w:t>
    </w:r>
    <w:r>
      <w:rPr>
        <w:rFonts w:hint="eastAsia"/>
        <w:lang w:eastAsia="zh-CN"/>
      </w:rPr>
      <w:t>完工</w:t>
    </w:r>
    <w:r>
      <w:t>验收特性表</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thinThickSmallGap" w:color="auto" w:sz="18" w:space="1"/>
      </w:pBdr>
      <w:spacing w:before="120" w:line="240" w:lineRule="auto"/>
      <w:ind w:firstLine="180" w:firstLineChars="100"/>
    </w:pPr>
    <w:r>
      <w:rPr>
        <w:rFonts w:hint="eastAsia"/>
      </w:rPr>
      <w:t>目录</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thinThickSmallGap" w:color="auto" w:sz="18" w:space="1"/>
      </w:pBdr>
      <w:spacing w:before="120" w:line="240" w:lineRule="auto"/>
      <w:ind w:firstLine="0" w:firstLineChars="0"/>
    </w:pPr>
    <w:r>
      <w:rPr>
        <w:rFonts w:hint="eastAsia"/>
      </w:rPr>
      <w:t>1 项目及项目区概况</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thinThickSmallGap" w:color="auto" w:sz="18" w:space="1"/>
      </w:pBdr>
      <w:spacing w:before="120" w:line="240" w:lineRule="auto"/>
      <w:ind w:firstLine="0" w:firstLineChars="0"/>
    </w:pPr>
    <w:r>
      <w:rPr>
        <w:rFonts w:hint="eastAsia"/>
      </w:rPr>
      <w:t>2 水土保持方案和设计情况</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thinThickSmallGap" w:color="auto" w:sz="18" w:space="1"/>
      </w:pBdr>
      <w:spacing w:before="120" w:line="240" w:lineRule="auto"/>
      <w:ind w:firstLine="0" w:firstLineChars="0"/>
    </w:pPr>
    <w:r>
      <w:rPr>
        <w:rFonts w:hint="eastAsia"/>
      </w:rPr>
      <w:t>3 水土保持方案实施情况</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thinThickSmallGap" w:color="auto" w:sz="18" w:space="1"/>
      </w:pBdr>
      <w:spacing w:before="120" w:line="240" w:lineRule="auto"/>
      <w:ind w:firstLine="0" w:firstLineChars="0"/>
    </w:pPr>
    <w:r>
      <w:rPr>
        <w:rFonts w:hint="eastAsia"/>
      </w:rPr>
      <w:t>4 水土保持工程质量</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thinThickSmallGap" w:color="auto" w:sz="18" w:space="1"/>
      </w:pBdr>
      <w:spacing w:before="120" w:line="240" w:lineRule="auto"/>
      <w:ind w:firstLine="0" w:firstLineChars="0"/>
    </w:pPr>
    <w:r>
      <w:rPr>
        <w:rFonts w:hint="eastAsia"/>
      </w:rPr>
      <w:t>5 项目初期运行及水土保持效果</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thinThickSmallGap" w:color="auto" w:sz="18" w:space="1"/>
      </w:pBdr>
      <w:spacing w:before="120" w:line="240" w:lineRule="auto"/>
      <w:ind w:firstLine="0" w:firstLineChars="0"/>
    </w:pPr>
    <w:r>
      <w:rPr>
        <w:rFonts w:hint="eastAsia"/>
      </w:rPr>
      <w:t>6 水土保持管理</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thinThickSmallGap" w:color="auto" w:sz="18" w:space="1"/>
      </w:pBdr>
      <w:spacing w:before="120" w:line="240" w:lineRule="auto"/>
      <w:ind w:firstLine="0" w:firstLineChars="0"/>
    </w:pPr>
    <w:r>
      <w:rPr>
        <w:rFonts w:hint="eastAsia"/>
      </w:rPr>
      <w:t>7 结论</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thinThickSmallGap" w:color="auto" w:sz="18" w:space="1"/>
      </w:pBdr>
      <w:spacing w:before="120" w:line="240" w:lineRule="auto"/>
      <w:ind w:firstLine="0" w:firstLineChars="0"/>
    </w:pPr>
    <w:r>
      <w:rPr>
        <w:rFonts w:hint="eastAsia"/>
      </w:rPr>
      <w:t>8 附件及附图</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spacing w:before="120"/>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spacing w:before="120"/>
      <w:ind w:firstLine="0" w:firstLineChars="0"/>
      <w:jc w:val="lef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thinThickSmallGap" w:color="auto" w:sz="18" w:space="1"/>
      </w:pBdr>
      <w:spacing w:before="120" w:line="240" w:lineRule="auto"/>
      <w:ind w:firstLineChars="111"/>
    </w:pPr>
    <w:r>
      <w:rPr>
        <w:rFonts w:hint="eastAsia"/>
      </w:rPr>
      <w:t>前 言</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ind w:firstLine="36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312719"/>
    <w:multiLevelType w:val="singleLevel"/>
    <w:tmpl w:val="BD312719"/>
    <w:lvl w:ilvl="0" w:tentative="0">
      <w:start w:val="5"/>
      <w:numFmt w:val="decimal"/>
      <w:suff w:val="nothing"/>
      <w:lvlText w:val="（%1）"/>
      <w:lvlJc w:val="left"/>
    </w:lvl>
  </w:abstractNum>
  <w:abstractNum w:abstractNumId="1">
    <w:nsid w:val="E87780AC"/>
    <w:multiLevelType w:val="singleLevel"/>
    <w:tmpl w:val="E87780AC"/>
    <w:lvl w:ilvl="0" w:tentative="0">
      <w:start w:val="1"/>
      <w:numFmt w:val="decimal"/>
      <w:suff w:val="nothing"/>
      <w:lvlText w:val="%1、"/>
      <w:lvlJc w:val="left"/>
    </w:lvl>
  </w:abstractNum>
  <w:abstractNum w:abstractNumId="2">
    <w:nsid w:val="191E4CC2"/>
    <w:multiLevelType w:val="multilevel"/>
    <w:tmpl w:val="191E4CC2"/>
    <w:lvl w:ilvl="0" w:tentative="0">
      <w:start w:val="1"/>
      <w:numFmt w:val="decimal"/>
      <w:pStyle w:val="2"/>
      <w:lvlText w:val="%1"/>
      <w:lvlJc w:val="left"/>
      <w:pPr>
        <w:ind w:left="432" w:hanging="432"/>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1287"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abstractNum w:abstractNumId="3">
    <w:nsid w:val="5652872F"/>
    <w:multiLevelType w:val="singleLevel"/>
    <w:tmpl w:val="5652872F"/>
    <w:lvl w:ilvl="0" w:tentative="0">
      <w:start w:val="1"/>
      <w:numFmt w:val="decimal"/>
      <w:suff w:val="nothing"/>
      <w:lvlText w:val="（%1）"/>
      <w:lvlJc w:val="left"/>
    </w:lvl>
  </w:abstractNum>
  <w:abstractNum w:abstractNumId="4">
    <w:nsid w:val="56A707E2"/>
    <w:multiLevelType w:val="singleLevel"/>
    <w:tmpl w:val="56A707E2"/>
    <w:lvl w:ilvl="0" w:tentative="0">
      <w:start w:val="1"/>
      <w:numFmt w:val="decimal"/>
      <w:suff w:val="nothing"/>
      <w:lvlText w:val="%1、"/>
      <w:lvlJc w:val="left"/>
    </w:lvl>
  </w:abstractNum>
  <w:abstractNum w:abstractNumId="5">
    <w:nsid w:val="75C5A01D"/>
    <w:multiLevelType w:val="singleLevel"/>
    <w:tmpl w:val="75C5A01D"/>
    <w:lvl w:ilvl="0" w:tentative="0">
      <w:start w:val="1"/>
      <w:numFmt w:val="decimal"/>
      <w:suff w:val="nothing"/>
      <w:lvlText w:val="%1、"/>
      <w:lvlJc w:val="left"/>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hideSpellingErrors/>
  <w:documentProtection w:enforcement="0"/>
  <w:defaultTabStop w:val="720"/>
  <w:drawingGridHorizontalSpacing w:val="120"/>
  <w:displayHorizontalDrawingGridEvery w:val="0"/>
  <w:displayVerticalDrawingGridEvery w:val="2"/>
  <w:characterSpacingControl w:val="doNotCompress"/>
  <w:hdrShapeDefaults>
    <o:shapelayout v:ext="edit">
      <o:idmap v:ext="edit" data="41"/>
    </o:shapelayout>
  </w:hdrShapeDefaults>
  <w:compat>
    <w:balanceSingleByteDoubleByteWidth/>
    <w:doNotExpandShiftReturn/>
    <w:adjustLineHeightInTable/>
    <w:useFELayout/>
    <w:doNotUseIndentAsNumberingTabStop/>
    <w:useAltKinsokuLineBreakRules/>
    <w:compatSetting w:name="compatibilityMode" w:uri="http://schemas.microsoft.com/office/word" w:val="12"/>
  </w:compat>
  <w:rsids>
    <w:rsidRoot w:val="00D31D50"/>
    <w:rsid w:val="00000918"/>
    <w:rsid w:val="000040F8"/>
    <w:rsid w:val="0000544E"/>
    <w:rsid w:val="000110D8"/>
    <w:rsid w:val="00012654"/>
    <w:rsid w:val="000159BC"/>
    <w:rsid w:val="00015AD0"/>
    <w:rsid w:val="00016FAB"/>
    <w:rsid w:val="000172D6"/>
    <w:rsid w:val="00022800"/>
    <w:rsid w:val="0002396C"/>
    <w:rsid w:val="00025CD6"/>
    <w:rsid w:val="00025D06"/>
    <w:rsid w:val="00032949"/>
    <w:rsid w:val="0003331D"/>
    <w:rsid w:val="00035374"/>
    <w:rsid w:val="00036730"/>
    <w:rsid w:val="00037A30"/>
    <w:rsid w:val="00043FAA"/>
    <w:rsid w:val="00053451"/>
    <w:rsid w:val="000538AD"/>
    <w:rsid w:val="00057E8E"/>
    <w:rsid w:val="0006045F"/>
    <w:rsid w:val="00062F08"/>
    <w:rsid w:val="000649B7"/>
    <w:rsid w:val="00066071"/>
    <w:rsid w:val="00070427"/>
    <w:rsid w:val="000711D6"/>
    <w:rsid w:val="000711EA"/>
    <w:rsid w:val="00073B1E"/>
    <w:rsid w:val="000763F9"/>
    <w:rsid w:val="00085937"/>
    <w:rsid w:val="00087DE4"/>
    <w:rsid w:val="000914B7"/>
    <w:rsid w:val="000917F9"/>
    <w:rsid w:val="0009180E"/>
    <w:rsid w:val="00091908"/>
    <w:rsid w:val="000924D6"/>
    <w:rsid w:val="000A29AE"/>
    <w:rsid w:val="000B0DD1"/>
    <w:rsid w:val="000C1046"/>
    <w:rsid w:val="000C5FA1"/>
    <w:rsid w:val="000C65E6"/>
    <w:rsid w:val="000C67FB"/>
    <w:rsid w:val="000C7169"/>
    <w:rsid w:val="000C767A"/>
    <w:rsid w:val="000D230E"/>
    <w:rsid w:val="000E51F1"/>
    <w:rsid w:val="000F23E5"/>
    <w:rsid w:val="000F3843"/>
    <w:rsid w:val="000F4778"/>
    <w:rsid w:val="000F494B"/>
    <w:rsid w:val="000F6345"/>
    <w:rsid w:val="000F64D9"/>
    <w:rsid w:val="000F6C27"/>
    <w:rsid w:val="001008E4"/>
    <w:rsid w:val="00102068"/>
    <w:rsid w:val="001060C2"/>
    <w:rsid w:val="001060EC"/>
    <w:rsid w:val="001064B0"/>
    <w:rsid w:val="00107330"/>
    <w:rsid w:val="001122E2"/>
    <w:rsid w:val="00122ECC"/>
    <w:rsid w:val="001263F2"/>
    <w:rsid w:val="001300DA"/>
    <w:rsid w:val="00130845"/>
    <w:rsid w:val="00131FB4"/>
    <w:rsid w:val="001336E9"/>
    <w:rsid w:val="00140485"/>
    <w:rsid w:val="0014383F"/>
    <w:rsid w:val="001447DF"/>
    <w:rsid w:val="00146BD5"/>
    <w:rsid w:val="00151B62"/>
    <w:rsid w:val="00155794"/>
    <w:rsid w:val="00155ED6"/>
    <w:rsid w:val="001702C8"/>
    <w:rsid w:val="001734E5"/>
    <w:rsid w:val="001758EE"/>
    <w:rsid w:val="001812AB"/>
    <w:rsid w:val="001823A8"/>
    <w:rsid w:val="00190975"/>
    <w:rsid w:val="00191E06"/>
    <w:rsid w:val="00193104"/>
    <w:rsid w:val="001941F2"/>
    <w:rsid w:val="00196295"/>
    <w:rsid w:val="001A212C"/>
    <w:rsid w:val="001A6E6D"/>
    <w:rsid w:val="001B2FD1"/>
    <w:rsid w:val="001B38C7"/>
    <w:rsid w:val="001B5EE1"/>
    <w:rsid w:val="001C3D94"/>
    <w:rsid w:val="001C6479"/>
    <w:rsid w:val="001C761D"/>
    <w:rsid w:val="001D2D52"/>
    <w:rsid w:val="001E130D"/>
    <w:rsid w:val="001E4D16"/>
    <w:rsid w:val="001E7F02"/>
    <w:rsid w:val="001F07A5"/>
    <w:rsid w:val="001F121B"/>
    <w:rsid w:val="001F557A"/>
    <w:rsid w:val="0020043D"/>
    <w:rsid w:val="00200ABE"/>
    <w:rsid w:val="00204E71"/>
    <w:rsid w:val="002058FF"/>
    <w:rsid w:val="00213BE3"/>
    <w:rsid w:val="00214126"/>
    <w:rsid w:val="00214D7A"/>
    <w:rsid w:val="00216144"/>
    <w:rsid w:val="002172F0"/>
    <w:rsid w:val="00222726"/>
    <w:rsid w:val="00227D9F"/>
    <w:rsid w:val="002303EF"/>
    <w:rsid w:val="00231774"/>
    <w:rsid w:val="00244C64"/>
    <w:rsid w:val="00250559"/>
    <w:rsid w:val="00250691"/>
    <w:rsid w:val="00251906"/>
    <w:rsid w:val="002521B1"/>
    <w:rsid w:val="00257377"/>
    <w:rsid w:val="00260189"/>
    <w:rsid w:val="00260879"/>
    <w:rsid w:val="002612D9"/>
    <w:rsid w:val="00263CBB"/>
    <w:rsid w:val="00265B41"/>
    <w:rsid w:val="002669C2"/>
    <w:rsid w:val="00273F6B"/>
    <w:rsid w:val="00273FF6"/>
    <w:rsid w:val="00275C1A"/>
    <w:rsid w:val="00277271"/>
    <w:rsid w:val="00284BCD"/>
    <w:rsid w:val="002867E8"/>
    <w:rsid w:val="00286F09"/>
    <w:rsid w:val="00287456"/>
    <w:rsid w:val="00287DB0"/>
    <w:rsid w:val="00294630"/>
    <w:rsid w:val="00294DAD"/>
    <w:rsid w:val="002956AA"/>
    <w:rsid w:val="002A24D7"/>
    <w:rsid w:val="002A58EB"/>
    <w:rsid w:val="002A600F"/>
    <w:rsid w:val="002A76F4"/>
    <w:rsid w:val="002B449D"/>
    <w:rsid w:val="002B5FC1"/>
    <w:rsid w:val="002B7B0D"/>
    <w:rsid w:val="002C6FD2"/>
    <w:rsid w:val="002C7419"/>
    <w:rsid w:val="002D23DD"/>
    <w:rsid w:val="002D254D"/>
    <w:rsid w:val="002D46F0"/>
    <w:rsid w:val="002E11E4"/>
    <w:rsid w:val="002E1F2D"/>
    <w:rsid w:val="002E3D2A"/>
    <w:rsid w:val="002E5CC1"/>
    <w:rsid w:val="002E7ECF"/>
    <w:rsid w:val="002F0CA4"/>
    <w:rsid w:val="002F5784"/>
    <w:rsid w:val="00300CBD"/>
    <w:rsid w:val="003053E0"/>
    <w:rsid w:val="00310E36"/>
    <w:rsid w:val="00314807"/>
    <w:rsid w:val="003148D9"/>
    <w:rsid w:val="0031650B"/>
    <w:rsid w:val="00316BD7"/>
    <w:rsid w:val="003214DA"/>
    <w:rsid w:val="00322068"/>
    <w:rsid w:val="00323793"/>
    <w:rsid w:val="00323B43"/>
    <w:rsid w:val="00326D6E"/>
    <w:rsid w:val="00332985"/>
    <w:rsid w:val="003426CC"/>
    <w:rsid w:val="0034412D"/>
    <w:rsid w:val="003443EF"/>
    <w:rsid w:val="00344CF1"/>
    <w:rsid w:val="003465D3"/>
    <w:rsid w:val="00346FF1"/>
    <w:rsid w:val="00350002"/>
    <w:rsid w:val="00353DFE"/>
    <w:rsid w:val="00355D3E"/>
    <w:rsid w:val="0036325B"/>
    <w:rsid w:val="0036334F"/>
    <w:rsid w:val="00370288"/>
    <w:rsid w:val="003733B5"/>
    <w:rsid w:val="00381264"/>
    <w:rsid w:val="00382B34"/>
    <w:rsid w:val="00384503"/>
    <w:rsid w:val="00385539"/>
    <w:rsid w:val="00385AD4"/>
    <w:rsid w:val="0039094C"/>
    <w:rsid w:val="00391242"/>
    <w:rsid w:val="00392516"/>
    <w:rsid w:val="00393248"/>
    <w:rsid w:val="00393BE9"/>
    <w:rsid w:val="003A1805"/>
    <w:rsid w:val="003A2D1D"/>
    <w:rsid w:val="003A3782"/>
    <w:rsid w:val="003A3CAF"/>
    <w:rsid w:val="003A5179"/>
    <w:rsid w:val="003A7EED"/>
    <w:rsid w:val="003B1C87"/>
    <w:rsid w:val="003B719C"/>
    <w:rsid w:val="003C1066"/>
    <w:rsid w:val="003C45CB"/>
    <w:rsid w:val="003C6DEA"/>
    <w:rsid w:val="003C76A1"/>
    <w:rsid w:val="003D1516"/>
    <w:rsid w:val="003D37D8"/>
    <w:rsid w:val="003E04C4"/>
    <w:rsid w:val="003E26D7"/>
    <w:rsid w:val="003F1448"/>
    <w:rsid w:val="003F2EE2"/>
    <w:rsid w:val="003F39FE"/>
    <w:rsid w:val="00401049"/>
    <w:rsid w:val="00401993"/>
    <w:rsid w:val="00404124"/>
    <w:rsid w:val="004069F3"/>
    <w:rsid w:val="00411FEE"/>
    <w:rsid w:val="00412D98"/>
    <w:rsid w:val="004205EC"/>
    <w:rsid w:val="00424399"/>
    <w:rsid w:val="00424738"/>
    <w:rsid w:val="00424FBE"/>
    <w:rsid w:val="00426133"/>
    <w:rsid w:val="004278EE"/>
    <w:rsid w:val="00427936"/>
    <w:rsid w:val="0043101C"/>
    <w:rsid w:val="0043142E"/>
    <w:rsid w:val="004358AB"/>
    <w:rsid w:val="00437C2C"/>
    <w:rsid w:val="00441DFB"/>
    <w:rsid w:val="00443FD0"/>
    <w:rsid w:val="00444913"/>
    <w:rsid w:val="00451C22"/>
    <w:rsid w:val="004568A3"/>
    <w:rsid w:val="0046419C"/>
    <w:rsid w:val="00465E2C"/>
    <w:rsid w:val="00466AD3"/>
    <w:rsid w:val="00467265"/>
    <w:rsid w:val="00471557"/>
    <w:rsid w:val="004743EA"/>
    <w:rsid w:val="00474931"/>
    <w:rsid w:val="00477EE2"/>
    <w:rsid w:val="0048534F"/>
    <w:rsid w:val="0049042A"/>
    <w:rsid w:val="0049113A"/>
    <w:rsid w:val="004A088F"/>
    <w:rsid w:val="004A0AD4"/>
    <w:rsid w:val="004A7DED"/>
    <w:rsid w:val="004B238F"/>
    <w:rsid w:val="004B4E07"/>
    <w:rsid w:val="004B6677"/>
    <w:rsid w:val="004B7E14"/>
    <w:rsid w:val="004C030F"/>
    <w:rsid w:val="004C05C5"/>
    <w:rsid w:val="004C1E7F"/>
    <w:rsid w:val="004C2904"/>
    <w:rsid w:val="004C3E5D"/>
    <w:rsid w:val="004C613D"/>
    <w:rsid w:val="004C7C1F"/>
    <w:rsid w:val="004D0987"/>
    <w:rsid w:val="004D38CF"/>
    <w:rsid w:val="004D4AC5"/>
    <w:rsid w:val="004D4BDC"/>
    <w:rsid w:val="004D5503"/>
    <w:rsid w:val="004E105F"/>
    <w:rsid w:val="004E1A63"/>
    <w:rsid w:val="004E33FE"/>
    <w:rsid w:val="004E637D"/>
    <w:rsid w:val="004E6F49"/>
    <w:rsid w:val="004F235D"/>
    <w:rsid w:val="004F358A"/>
    <w:rsid w:val="004F4A59"/>
    <w:rsid w:val="00507C27"/>
    <w:rsid w:val="00512F4B"/>
    <w:rsid w:val="00513A35"/>
    <w:rsid w:val="005148DF"/>
    <w:rsid w:val="00514E52"/>
    <w:rsid w:val="00520E79"/>
    <w:rsid w:val="00522DC2"/>
    <w:rsid w:val="005244FF"/>
    <w:rsid w:val="00526F6F"/>
    <w:rsid w:val="00527108"/>
    <w:rsid w:val="00530C54"/>
    <w:rsid w:val="00536854"/>
    <w:rsid w:val="00541C9A"/>
    <w:rsid w:val="00542262"/>
    <w:rsid w:val="00543918"/>
    <w:rsid w:val="00551680"/>
    <w:rsid w:val="0055172B"/>
    <w:rsid w:val="00554231"/>
    <w:rsid w:val="00556A41"/>
    <w:rsid w:val="005607D5"/>
    <w:rsid w:val="00560DF3"/>
    <w:rsid w:val="00561C2F"/>
    <w:rsid w:val="0056224A"/>
    <w:rsid w:val="00572DF6"/>
    <w:rsid w:val="005730A3"/>
    <w:rsid w:val="00574AF7"/>
    <w:rsid w:val="00575407"/>
    <w:rsid w:val="00576A51"/>
    <w:rsid w:val="00577335"/>
    <w:rsid w:val="00584EDF"/>
    <w:rsid w:val="00590716"/>
    <w:rsid w:val="005942FB"/>
    <w:rsid w:val="005A05CC"/>
    <w:rsid w:val="005A25AD"/>
    <w:rsid w:val="005A484D"/>
    <w:rsid w:val="005A6179"/>
    <w:rsid w:val="005B0B44"/>
    <w:rsid w:val="005B253A"/>
    <w:rsid w:val="005B57A3"/>
    <w:rsid w:val="005B587C"/>
    <w:rsid w:val="005B67B0"/>
    <w:rsid w:val="005B7264"/>
    <w:rsid w:val="005C44FD"/>
    <w:rsid w:val="005C6EF8"/>
    <w:rsid w:val="005C733A"/>
    <w:rsid w:val="005D681C"/>
    <w:rsid w:val="005E13BF"/>
    <w:rsid w:val="005E1CF0"/>
    <w:rsid w:val="005E755B"/>
    <w:rsid w:val="005F3C13"/>
    <w:rsid w:val="005F4EDA"/>
    <w:rsid w:val="005F4FD1"/>
    <w:rsid w:val="005F5E40"/>
    <w:rsid w:val="00603833"/>
    <w:rsid w:val="00603E83"/>
    <w:rsid w:val="00603EBD"/>
    <w:rsid w:val="006063C5"/>
    <w:rsid w:val="00612D4D"/>
    <w:rsid w:val="006133C8"/>
    <w:rsid w:val="006136AE"/>
    <w:rsid w:val="006159C8"/>
    <w:rsid w:val="006177BB"/>
    <w:rsid w:val="00624D6D"/>
    <w:rsid w:val="00625706"/>
    <w:rsid w:val="00627144"/>
    <w:rsid w:val="00627E1A"/>
    <w:rsid w:val="00630AF0"/>
    <w:rsid w:val="006339A5"/>
    <w:rsid w:val="00634597"/>
    <w:rsid w:val="00636003"/>
    <w:rsid w:val="00640CD6"/>
    <w:rsid w:val="00641925"/>
    <w:rsid w:val="00643F93"/>
    <w:rsid w:val="00644C43"/>
    <w:rsid w:val="00646258"/>
    <w:rsid w:val="006465F8"/>
    <w:rsid w:val="00647E6F"/>
    <w:rsid w:val="0065021E"/>
    <w:rsid w:val="006513B6"/>
    <w:rsid w:val="006569F7"/>
    <w:rsid w:val="006572C5"/>
    <w:rsid w:val="00661FD0"/>
    <w:rsid w:val="0066483C"/>
    <w:rsid w:val="00665E98"/>
    <w:rsid w:val="00667B82"/>
    <w:rsid w:val="00667C81"/>
    <w:rsid w:val="00670274"/>
    <w:rsid w:val="0068161A"/>
    <w:rsid w:val="00681E3E"/>
    <w:rsid w:val="00682DE1"/>
    <w:rsid w:val="00684B2A"/>
    <w:rsid w:val="00684D52"/>
    <w:rsid w:val="00686D8B"/>
    <w:rsid w:val="00692046"/>
    <w:rsid w:val="00694FCE"/>
    <w:rsid w:val="006963EB"/>
    <w:rsid w:val="00696EC7"/>
    <w:rsid w:val="00697FD9"/>
    <w:rsid w:val="006A0033"/>
    <w:rsid w:val="006A0A09"/>
    <w:rsid w:val="006A1BE7"/>
    <w:rsid w:val="006A3476"/>
    <w:rsid w:val="006A39C6"/>
    <w:rsid w:val="006A5AC2"/>
    <w:rsid w:val="006B2C5E"/>
    <w:rsid w:val="006B46FA"/>
    <w:rsid w:val="006B4BDD"/>
    <w:rsid w:val="006B50B6"/>
    <w:rsid w:val="006B7181"/>
    <w:rsid w:val="006B7E79"/>
    <w:rsid w:val="006C1A79"/>
    <w:rsid w:val="006C1B39"/>
    <w:rsid w:val="006C745C"/>
    <w:rsid w:val="006D1FFD"/>
    <w:rsid w:val="006D5088"/>
    <w:rsid w:val="006D5A95"/>
    <w:rsid w:val="006D7097"/>
    <w:rsid w:val="006E09A8"/>
    <w:rsid w:val="006E0BB8"/>
    <w:rsid w:val="006E38FF"/>
    <w:rsid w:val="006F2472"/>
    <w:rsid w:val="006F3B3B"/>
    <w:rsid w:val="006F499A"/>
    <w:rsid w:val="0070158A"/>
    <w:rsid w:val="00701610"/>
    <w:rsid w:val="00701B8E"/>
    <w:rsid w:val="0070770B"/>
    <w:rsid w:val="00707BC4"/>
    <w:rsid w:val="00711197"/>
    <w:rsid w:val="00720597"/>
    <w:rsid w:val="00724C14"/>
    <w:rsid w:val="00726760"/>
    <w:rsid w:val="00727E09"/>
    <w:rsid w:val="00730A20"/>
    <w:rsid w:val="0073756F"/>
    <w:rsid w:val="00753837"/>
    <w:rsid w:val="00756264"/>
    <w:rsid w:val="007602A5"/>
    <w:rsid w:val="00760C14"/>
    <w:rsid w:val="00761599"/>
    <w:rsid w:val="00761A11"/>
    <w:rsid w:val="00772E78"/>
    <w:rsid w:val="00774BA9"/>
    <w:rsid w:val="00781503"/>
    <w:rsid w:val="007831C7"/>
    <w:rsid w:val="00783CC0"/>
    <w:rsid w:val="00785292"/>
    <w:rsid w:val="007868B3"/>
    <w:rsid w:val="0079360F"/>
    <w:rsid w:val="007A00B1"/>
    <w:rsid w:val="007A1FA4"/>
    <w:rsid w:val="007A4589"/>
    <w:rsid w:val="007B3844"/>
    <w:rsid w:val="007C35DB"/>
    <w:rsid w:val="007C3925"/>
    <w:rsid w:val="007C52BD"/>
    <w:rsid w:val="007C7CC4"/>
    <w:rsid w:val="007D0108"/>
    <w:rsid w:val="007D0392"/>
    <w:rsid w:val="007D1B12"/>
    <w:rsid w:val="007D5AF3"/>
    <w:rsid w:val="007E0E9C"/>
    <w:rsid w:val="007E1097"/>
    <w:rsid w:val="007F0C44"/>
    <w:rsid w:val="007F1B5B"/>
    <w:rsid w:val="007F4809"/>
    <w:rsid w:val="007F51B8"/>
    <w:rsid w:val="007F6A77"/>
    <w:rsid w:val="007F7EBE"/>
    <w:rsid w:val="00806181"/>
    <w:rsid w:val="008072F4"/>
    <w:rsid w:val="00815A57"/>
    <w:rsid w:val="00815EF2"/>
    <w:rsid w:val="00816745"/>
    <w:rsid w:val="00824E3D"/>
    <w:rsid w:val="008322CF"/>
    <w:rsid w:val="008322E6"/>
    <w:rsid w:val="00834829"/>
    <w:rsid w:val="00835227"/>
    <w:rsid w:val="00843003"/>
    <w:rsid w:val="00843DAE"/>
    <w:rsid w:val="00845430"/>
    <w:rsid w:val="00851489"/>
    <w:rsid w:val="0085234C"/>
    <w:rsid w:val="00853AA6"/>
    <w:rsid w:val="00854780"/>
    <w:rsid w:val="0085710B"/>
    <w:rsid w:val="00857EEB"/>
    <w:rsid w:val="008613B9"/>
    <w:rsid w:val="00863271"/>
    <w:rsid w:val="00863309"/>
    <w:rsid w:val="00871565"/>
    <w:rsid w:val="00871F00"/>
    <w:rsid w:val="00872310"/>
    <w:rsid w:val="008728F4"/>
    <w:rsid w:val="00874AA2"/>
    <w:rsid w:val="008758AB"/>
    <w:rsid w:val="0087612E"/>
    <w:rsid w:val="00877403"/>
    <w:rsid w:val="0088114B"/>
    <w:rsid w:val="00884268"/>
    <w:rsid w:val="00890B12"/>
    <w:rsid w:val="008924F7"/>
    <w:rsid w:val="008955F7"/>
    <w:rsid w:val="008A347E"/>
    <w:rsid w:val="008A4D38"/>
    <w:rsid w:val="008A54FD"/>
    <w:rsid w:val="008A61A2"/>
    <w:rsid w:val="008B5C3A"/>
    <w:rsid w:val="008B6066"/>
    <w:rsid w:val="008B7726"/>
    <w:rsid w:val="008C2B18"/>
    <w:rsid w:val="008C4A8D"/>
    <w:rsid w:val="008C67D5"/>
    <w:rsid w:val="008D6110"/>
    <w:rsid w:val="008D6C70"/>
    <w:rsid w:val="008D6E66"/>
    <w:rsid w:val="008E5255"/>
    <w:rsid w:val="008E6943"/>
    <w:rsid w:val="008F490B"/>
    <w:rsid w:val="008F7712"/>
    <w:rsid w:val="009003DE"/>
    <w:rsid w:val="00900869"/>
    <w:rsid w:val="0090379B"/>
    <w:rsid w:val="00905B91"/>
    <w:rsid w:val="009061AA"/>
    <w:rsid w:val="009064CA"/>
    <w:rsid w:val="00917533"/>
    <w:rsid w:val="009234A0"/>
    <w:rsid w:val="009244F2"/>
    <w:rsid w:val="00927488"/>
    <w:rsid w:val="009316D9"/>
    <w:rsid w:val="00933773"/>
    <w:rsid w:val="0093487F"/>
    <w:rsid w:val="0094237A"/>
    <w:rsid w:val="0094313F"/>
    <w:rsid w:val="009436E6"/>
    <w:rsid w:val="0094462C"/>
    <w:rsid w:val="00946110"/>
    <w:rsid w:val="00952245"/>
    <w:rsid w:val="00956875"/>
    <w:rsid w:val="00957028"/>
    <w:rsid w:val="00957828"/>
    <w:rsid w:val="00957BDB"/>
    <w:rsid w:val="00963DE1"/>
    <w:rsid w:val="00967868"/>
    <w:rsid w:val="009761E2"/>
    <w:rsid w:val="009767B8"/>
    <w:rsid w:val="009771A2"/>
    <w:rsid w:val="00977BE7"/>
    <w:rsid w:val="0098256B"/>
    <w:rsid w:val="009827BC"/>
    <w:rsid w:val="00983D24"/>
    <w:rsid w:val="00993B5A"/>
    <w:rsid w:val="009A418D"/>
    <w:rsid w:val="009A6877"/>
    <w:rsid w:val="009A7253"/>
    <w:rsid w:val="009A7E92"/>
    <w:rsid w:val="009B4C9D"/>
    <w:rsid w:val="009B74DF"/>
    <w:rsid w:val="009B7C4E"/>
    <w:rsid w:val="009C2B09"/>
    <w:rsid w:val="009C573F"/>
    <w:rsid w:val="009C775B"/>
    <w:rsid w:val="009C7C0B"/>
    <w:rsid w:val="009D01CA"/>
    <w:rsid w:val="009D0D6E"/>
    <w:rsid w:val="009D41BD"/>
    <w:rsid w:val="009D49C8"/>
    <w:rsid w:val="009D73E8"/>
    <w:rsid w:val="009E11E1"/>
    <w:rsid w:val="009E15B4"/>
    <w:rsid w:val="009E2859"/>
    <w:rsid w:val="009E3D6A"/>
    <w:rsid w:val="009E75E8"/>
    <w:rsid w:val="009F01DF"/>
    <w:rsid w:val="009F091D"/>
    <w:rsid w:val="009F0C65"/>
    <w:rsid w:val="009F502F"/>
    <w:rsid w:val="00A0278A"/>
    <w:rsid w:val="00A028F7"/>
    <w:rsid w:val="00A02D30"/>
    <w:rsid w:val="00A10080"/>
    <w:rsid w:val="00A1369E"/>
    <w:rsid w:val="00A20104"/>
    <w:rsid w:val="00A2284F"/>
    <w:rsid w:val="00A23CA4"/>
    <w:rsid w:val="00A256DC"/>
    <w:rsid w:val="00A25C39"/>
    <w:rsid w:val="00A40EDF"/>
    <w:rsid w:val="00A413B5"/>
    <w:rsid w:val="00A46051"/>
    <w:rsid w:val="00A466A0"/>
    <w:rsid w:val="00A477C3"/>
    <w:rsid w:val="00A515F4"/>
    <w:rsid w:val="00A51AA7"/>
    <w:rsid w:val="00A52B5F"/>
    <w:rsid w:val="00A55D86"/>
    <w:rsid w:val="00A55FCC"/>
    <w:rsid w:val="00A56423"/>
    <w:rsid w:val="00A57D84"/>
    <w:rsid w:val="00A62855"/>
    <w:rsid w:val="00A6316B"/>
    <w:rsid w:val="00A63274"/>
    <w:rsid w:val="00A64CDF"/>
    <w:rsid w:val="00A67F80"/>
    <w:rsid w:val="00A70F52"/>
    <w:rsid w:val="00A72630"/>
    <w:rsid w:val="00A73643"/>
    <w:rsid w:val="00A73804"/>
    <w:rsid w:val="00A7451D"/>
    <w:rsid w:val="00A80452"/>
    <w:rsid w:val="00A83FD7"/>
    <w:rsid w:val="00A9412F"/>
    <w:rsid w:val="00AA0544"/>
    <w:rsid w:val="00AA23F0"/>
    <w:rsid w:val="00AA394E"/>
    <w:rsid w:val="00AA48EC"/>
    <w:rsid w:val="00AA5357"/>
    <w:rsid w:val="00AA726A"/>
    <w:rsid w:val="00AB130F"/>
    <w:rsid w:val="00AB56A3"/>
    <w:rsid w:val="00AC3760"/>
    <w:rsid w:val="00AD1517"/>
    <w:rsid w:val="00AD18AE"/>
    <w:rsid w:val="00AD1934"/>
    <w:rsid w:val="00AD228A"/>
    <w:rsid w:val="00AD37DC"/>
    <w:rsid w:val="00AD3FD4"/>
    <w:rsid w:val="00AE188A"/>
    <w:rsid w:val="00AE21C4"/>
    <w:rsid w:val="00AE432F"/>
    <w:rsid w:val="00AF0147"/>
    <w:rsid w:val="00AF5571"/>
    <w:rsid w:val="00AF6C16"/>
    <w:rsid w:val="00AF75A2"/>
    <w:rsid w:val="00B03F1D"/>
    <w:rsid w:val="00B04B8B"/>
    <w:rsid w:val="00B04DB9"/>
    <w:rsid w:val="00B04F9B"/>
    <w:rsid w:val="00B05341"/>
    <w:rsid w:val="00B07342"/>
    <w:rsid w:val="00B13A81"/>
    <w:rsid w:val="00B27F60"/>
    <w:rsid w:val="00B310A6"/>
    <w:rsid w:val="00B324FC"/>
    <w:rsid w:val="00B33824"/>
    <w:rsid w:val="00B34C7A"/>
    <w:rsid w:val="00B37AF9"/>
    <w:rsid w:val="00B532A7"/>
    <w:rsid w:val="00B56FF2"/>
    <w:rsid w:val="00B57828"/>
    <w:rsid w:val="00B57C58"/>
    <w:rsid w:val="00B616AD"/>
    <w:rsid w:val="00B6453D"/>
    <w:rsid w:val="00B6679B"/>
    <w:rsid w:val="00B6799F"/>
    <w:rsid w:val="00B706B2"/>
    <w:rsid w:val="00B72208"/>
    <w:rsid w:val="00B72952"/>
    <w:rsid w:val="00B72DCF"/>
    <w:rsid w:val="00B72E28"/>
    <w:rsid w:val="00B748D2"/>
    <w:rsid w:val="00B770A2"/>
    <w:rsid w:val="00B8111F"/>
    <w:rsid w:val="00B82B17"/>
    <w:rsid w:val="00B85F1C"/>
    <w:rsid w:val="00B867A6"/>
    <w:rsid w:val="00B87B0F"/>
    <w:rsid w:val="00B87CE9"/>
    <w:rsid w:val="00BA2633"/>
    <w:rsid w:val="00BB34D8"/>
    <w:rsid w:val="00BB550E"/>
    <w:rsid w:val="00BB7860"/>
    <w:rsid w:val="00BC067A"/>
    <w:rsid w:val="00BC0E14"/>
    <w:rsid w:val="00BC1D94"/>
    <w:rsid w:val="00BC2D57"/>
    <w:rsid w:val="00BC31C6"/>
    <w:rsid w:val="00BC595E"/>
    <w:rsid w:val="00BC74B0"/>
    <w:rsid w:val="00BD0C1B"/>
    <w:rsid w:val="00BD4317"/>
    <w:rsid w:val="00BD64E6"/>
    <w:rsid w:val="00BD6897"/>
    <w:rsid w:val="00BE0371"/>
    <w:rsid w:val="00BE315B"/>
    <w:rsid w:val="00BE35F4"/>
    <w:rsid w:val="00BE3911"/>
    <w:rsid w:val="00BE7AE1"/>
    <w:rsid w:val="00BE7F8B"/>
    <w:rsid w:val="00BF218B"/>
    <w:rsid w:val="00BF4E53"/>
    <w:rsid w:val="00BF595C"/>
    <w:rsid w:val="00BF6296"/>
    <w:rsid w:val="00C02E80"/>
    <w:rsid w:val="00C04365"/>
    <w:rsid w:val="00C06A97"/>
    <w:rsid w:val="00C06EBF"/>
    <w:rsid w:val="00C10040"/>
    <w:rsid w:val="00C12577"/>
    <w:rsid w:val="00C16650"/>
    <w:rsid w:val="00C226DB"/>
    <w:rsid w:val="00C27F9B"/>
    <w:rsid w:val="00C32B91"/>
    <w:rsid w:val="00C34F13"/>
    <w:rsid w:val="00C3759C"/>
    <w:rsid w:val="00C37CC4"/>
    <w:rsid w:val="00C40405"/>
    <w:rsid w:val="00C42C86"/>
    <w:rsid w:val="00C4371B"/>
    <w:rsid w:val="00C46B62"/>
    <w:rsid w:val="00C502D2"/>
    <w:rsid w:val="00C55D76"/>
    <w:rsid w:val="00C57DB5"/>
    <w:rsid w:val="00C7061A"/>
    <w:rsid w:val="00C747EB"/>
    <w:rsid w:val="00C74BDB"/>
    <w:rsid w:val="00C74E26"/>
    <w:rsid w:val="00C75D96"/>
    <w:rsid w:val="00C75FFE"/>
    <w:rsid w:val="00C80993"/>
    <w:rsid w:val="00C84BF2"/>
    <w:rsid w:val="00C8562C"/>
    <w:rsid w:val="00C85B8C"/>
    <w:rsid w:val="00C9124D"/>
    <w:rsid w:val="00C92AE8"/>
    <w:rsid w:val="00C94829"/>
    <w:rsid w:val="00C96661"/>
    <w:rsid w:val="00CA0107"/>
    <w:rsid w:val="00CA07F7"/>
    <w:rsid w:val="00CA703F"/>
    <w:rsid w:val="00CA7DF4"/>
    <w:rsid w:val="00CB3F7E"/>
    <w:rsid w:val="00CB42CC"/>
    <w:rsid w:val="00CB5609"/>
    <w:rsid w:val="00CB7393"/>
    <w:rsid w:val="00CC06B4"/>
    <w:rsid w:val="00CC2A67"/>
    <w:rsid w:val="00CD61BF"/>
    <w:rsid w:val="00CD6600"/>
    <w:rsid w:val="00CD6951"/>
    <w:rsid w:val="00CD6A39"/>
    <w:rsid w:val="00CD7247"/>
    <w:rsid w:val="00CE2C84"/>
    <w:rsid w:val="00CE455C"/>
    <w:rsid w:val="00CF1387"/>
    <w:rsid w:val="00CF5ADC"/>
    <w:rsid w:val="00CF6C18"/>
    <w:rsid w:val="00CF6F70"/>
    <w:rsid w:val="00D01DA5"/>
    <w:rsid w:val="00D03738"/>
    <w:rsid w:val="00D07EEC"/>
    <w:rsid w:val="00D126AB"/>
    <w:rsid w:val="00D14172"/>
    <w:rsid w:val="00D14A25"/>
    <w:rsid w:val="00D1567A"/>
    <w:rsid w:val="00D201BB"/>
    <w:rsid w:val="00D204EA"/>
    <w:rsid w:val="00D20D84"/>
    <w:rsid w:val="00D23CA5"/>
    <w:rsid w:val="00D268D2"/>
    <w:rsid w:val="00D26DC7"/>
    <w:rsid w:val="00D31D50"/>
    <w:rsid w:val="00D329C8"/>
    <w:rsid w:val="00D33DCA"/>
    <w:rsid w:val="00D37072"/>
    <w:rsid w:val="00D41A42"/>
    <w:rsid w:val="00D43F34"/>
    <w:rsid w:val="00D454A5"/>
    <w:rsid w:val="00D5075A"/>
    <w:rsid w:val="00D51712"/>
    <w:rsid w:val="00D51E81"/>
    <w:rsid w:val="00D52283"/>
    <w:rsid w:val="00D53EEF"/>
    <w:rsid w:val="00D57C38"/>
    <w:rsid w:val="00D62D49"/>
    <w:rsid w:val="00D66BB4"/>
    <w:rsid w:val="00D67CE7"/>
    <w:rsid w:val="00D70D03"/>
    <w:rsid w:val="00D712CB"/>
    <w:rsid w:val="00D8232E"/>
    <w:rsid w:val="00D8264F"/>
    <w:rsid w:val="00D827C0"/>
    <w:rsid w:val="00D82A78"/>
    <w:rsid w:val="00D8413D"/>
    <w:rsid w:val="00D91B21"/>
    <w:rsid w:val="00D93DE0"/>
    <w:rsid w:val="00DA18A0"/>
    <w:rsid w:val="00DA6C86"/>
    <w:rsid w:val="00DA752E"/>
    <w:rsid w:val="00DB3F3C"/>
    <w:rsid w:val="00DC3789"/>
    <w:rsid w:val="00DC3D68"/>
    <w:rsid w:val="00DC4D5C"/>
    <w:rsid w:val="00DC64E6"/>
    <w:rsid w:val="00DC6DBF"/>
    <w:rsid w:val="00DC7AF5"/>
    <w:rsid w:val="00DD0294"/>
    <w:rsid w:val="00DD109F"/>
    <w:rsid w:val="00DD184B"/>
    <w:rsid w:val="00DD40AA"/>
    <w:rsid w:val="00DD4869"/>
    <w:rsid w:val="00DD5C57"/>
    <w:rsid w:val="00DD73E8"/>
    <w:rsid w:val="00DD7D86"/>
    <w:rsid w:val="00DE0F6F"/>
    <w:rsid w:val="00DE1938"/>
    <w:rsid w:val="00DE5CC6"/>
    <w:rsid w:val="00DF4245"/>
    <w:rsid w:val="00DF5A58"/>
    <w:rsid w:val="00DF667F"/>
    <w:rsid w:val="00E01147"/>
    <w:rsid w:val="00E04D80"/>
    <w:rsid w:val="00E10D06"/>
    <w:rsid w:val="00E11AEE"/>
    <w:rsid w:val="00E169E1"/>
    <w:rsid w:val="00E16C5A"/>
    <w:rsid w:val="00E17A72"/>
    <w:rsid w:val="00E22C68"/>
    <w:rsid w:val="00E23741"/>
    <w:rsid w:val="00E25E07"/>
    <w:rsid w:val="00E26A95"/>
    <w:rsid w:val="00E313A0"/>
    <w:rsid w:val="00E33A20"/>
    <w:rsid w:val="00E354B9"/>
    <w:rsid w:val="00E370AC"/>
    <w:rsid w:val="00E40616"/>
    <w:rsid w:val="00E41EB4"/>
    <w:rsid w:val="00E4283F"/>
    <w:rsid w:val="00E452EF"/>
    <w:rsid w:val="00E5052E"/>
    <w:rsid w:val="00E5423B"/>
    <w:rsid w:val="00E60B34"/>
    <w:rsid w:val="00E62958"/>
    <w:rsid w:val="00E64785"/>
    <w:rsid w:val="00E6480D"/>
    <w:rsid w:val="00E64823"/>
    <w:rsid w:val="00E678A6"/>
    <w:rsid w:val="00E70310"/>
    <w:rsid w:val="00E73B8D"/>
    <w:rsid w:val="00E7616E"/>
    <w:rsid w:val="00E76EFB"/>
    <w:rsid w:val="00E80AA0"/>
    <w:rsid w:val="00E8338D"/>
    <w:rsid w:val="00E8571F"/>
    <w:rsid w:val="00E87E4A"/>
    <w:rsid w:val="00E90320"/>
    <w:rsid w:val="00E90F16"/>
    <w:rsid w:val="00E91355"/>
    <w:rsid w:val="00E9167B"/>
    <w:rsid w:val="00E95750"/>
    <w:rsid w:val="00EA004D"/>
    <w:rsid w:val="00EA0750"/>
    <w:rsid w:val="00EA7C91"/>
    <w:rsid w:val="00EB17DD"/>
    <w:rsid w:val="00EB7940"/>
    <w:rsid w:val="00EB7978"/>
    <w:rsid w:val="00EC13DF"/>
    <w:rsid w:val="00EC27EB"/>
    <w:rsid w:val="00EC3BD9"/>
    <w:rsid w:val="00EC4BD4"/>
    <w:rsid w:val="00EC53E8"/>
    <w:rsid w:val="00EC58F9"/>
    <w:rsid w:val="00EC6EF0"/>
    <w:rsid w:val="00ED1707"/>
    <w:rsid w:val="00ED269D"/>
    <w:rsid w:val="00ED2CFC"/>
    <w:rsid w:val="00ED4A45"/>
    <w:rsid w:val="00ED5D01"/>
    <w:rsid w:val="00ED5F71"/>
    <w:rsid w:val="00ED66C3"/>
    <w:rsid w:val="00ED6A3C"/>
    <w:rsid w:val="00EE017D"/>
    <w:rsid w:val="00EE2C4A"/>
    <w:rsid w:val="00EE2F39"/>
    <w:rsid w:val="00EF10F1"/>
    <w:rsid w:val="00EF1192"/>
    <w:rsid w:val="00EF3B93"/>
    <w:rsid w:val="00EF46FB"/>
    <w:rsid w:val="00EF53C9"/>
    <w:rsid w:val="00EF61BF"/>
    <w:rsid w:val="00EF6980"/>
    <w:rsid w:val="00EF705A"/>
    <w:rsid w:val="00F014A8"/>
    <w:rsid w:val="00F03C93"/>
    <w:rsid w:val="00F052BD"/>
    <w:rsid w:val="00F153E7"/>
    <w:rsid w:val="00F1664A"/>
    <w:rsid w:val="00F16BFF"/>
    <w:rsid w:val="00F20DE5"/>
    <w:rsid w:val="00F20E3F"/>
    <w:rsid w:val="00F22E38"/>
    <w:rsid w:val="00F22F9C"/>
    <w:rsid w:val="00F30863"/>
    <w:rsid w:val="00F31C83"/>
    <w:rsid w:val="00F31DF0"/>
    <w:rsid w:val="00F32987"/>
    <w:rsid w:val="00F414D3"/>
    <w:rsid w:val="00F50BA5"/>
    <w:rsid w:val="00F53F24"/>
    <w:rsid w:val="00F53F6B"/>
    <w:rsid w:val="00F545A2"/>
    <w:rsid w:val="00F54F39"/>
    <w:rsid w:val="00F56E0E"/>
    <w:rsid w:val="00F57492"/>
    <w:rsid w:val="00F74941"/>
    <w:rsid w:val="00F75488"/>
    <w:rsid w:val="00F77779"/>
    <w:rsid w:val="00F801FF"/>
    <w:rsid w:val="00F86E44"/>
    <w:rsid w:val="00F902B7"/>
    <w:rsid w:val="00F9371E"/>
    <w:rsid w:val="00F952B0"/>
    <w:rsid w:val="00FA0066"/>
    <w:rsid w:val="00FA224F"/>
    <w:rsid w:val="00FA2623"/>
    <w:rsid w:val="00FA3100"/>
    <w:rsid w:val="00FA4C59"/>
    <w:rsid w:val="00FA5C7C"/>
    <w:rsid w:val="00FB0D81"/>
    <w:rsid w:val="00FB37C0"/>
    <w:rsid w:val="00FB3827"/>
    <w:rsid w:val="00FB701E"/>
    <w:rsid w:val="00FB70FE"/>
    <w:rsid w:val="00FC03DB"/>
    <w:rsid w:val="00FC09D8"/>
    <w:rsid w:val="00FC1634"/>
    <w:rsid w:val="00FC2619"/>
    <w:rsid w:val="00FE48A8"/>
    <w:rsid w:val="00FE5D4B"/>
    <w:rsid w:val="00FF1B89"/>
    <w:rsid w:val="00FF5ACC"/>
    <w:rsid w:val="00FF6811"/>
    <w:rsid w:val="010C6F8A"/>
    <w:rsid w:val="01436FFD"/>
    <w:rsid w:val="01A34EFD"/>
    <w:rsid w:val="01F511C1"/>
    <w:rsid w:val="022363F7"/>
    <w:rsid w:val="028A0E23"/>
    <w:rsid w:val="0301012C"/>
    <w:rsid w:val="03AA6820"/>
    <w:rsid w:val="049978FE"/>
    <w:rsid w:val="054E01DC"/>
    <w:rsid w:val="05B82FCB"/>
    <w:rsid w:val="060F2685"/>
    <w:rsid w:val="066E31F5"/>
    <w:rsid w:val="07E01E90"/>
    <w:rsid w:val="08A47B30"/>
    <w:rsid w:val="0AAA3E13"/>
    <w:rsid w:val="0BDC6E08"/>
    <w:rsid w:val="0BF32D50"/>
    <w:rsid w:val="0C12551A"/>
    <w:rsid w:val="0C145BEC"/>
    <w:rsid w:val="0C610298"/>
    <w:rsid w:val="0D2D69B8"/>
    <w:rsid w:val="0D362B5D"/>
    <w:rsid w:val="0DA90138"/>
    <w:rsid w:val="0E49372D"/>
    <w:rsid w:val="0E89005D"/>
    <w:rsid w:val="0E950708"/>
    <w:rsid w:val="0F4A7EF2"/>
    <w:rsid w:val="0FAE5E80"/>
    <w:rsid w:val="0FE110BA"/>
    <w:rsid w:val="0FED39C8"/>
    <w:rsid w:val="10612228"/>
    <w:rsid w:val="10E97B10"/>
    <w:rsid w:val="112B00D2"/>
    <w:rsid w:val="116C2760"/>
    <w:rsid w:val="125E1BB7"/>
    <w:rsid w:val="12690DA6"/>
    <w:rsid w:val="12FC60A1"/>
    <w:rsid w:val="13937E54"/>
    <w:rsid w:val="14243760"/>
    <w:rsid w:val="14394B9C"/>
    <w:rsid w:val="144A4A99"/>
    <w:rsid w:val="1480680A"/>
    <w:rsid w:val="14AE7902"/>
    <w:rsid w:val="157756A6"/>
    <w:rsid w:val="157B6422"/>
    <w:rsid w:val="15AE6AFD"/>
    <w:rsid w:val="15B06AAE"/>
    <w:rsid w:val="160F1A50"/>
    <w:rsid w:val="165B07D3"/>
    <w:rsid w:val="167F7D35"/>
    <w:rsid w:val="169561B9"/>
    <w:rsid w:val="169C4F4D"/>
    <w:rsid w:val="17CB0D70"/>
    <w:rsid w:val="17EB4C10"/>
    <w:rsid w:val="18E70DFE"/>
    <w:rsid w:val="192A062F"/>
    <w:rsid w:val="1A756883"/>
    <w:rsid w:val="1AC9749C"/>
    <w:rsid w:val="1ADC6626"/>
    <w:rsid w:val="1AE80DD2"/>
    <w:rsid w:val="1B2852F8"/>
    <w:rsid w:val="1C471977"/>
    <w:rsid w:val="1C746E0F"/>
    <w:rsid w:val="1CED6E05"/>
    <w:rsid w:val="1D0D096A"/>
    <w:rsid w:val="1D7B17B8"/>
    <w:rsid w:val="1D7B73C5"/>
    <w:rsid w:val="1D8B753E"/>
    <w:rsid w:val="1DD61ED7"/>
    <w:rsid w:val="1E28249E"/>
    <w:rsid w:val="1F454CD7"/>
    <w:rsid w:val="1FE2126D"/>
    <w:rsid w:val="1FED0775"/>
    <w:rsid w:val="20D81C1A"/>
    <w:rsid w:val="20FA2B58"/>
    <w:rsid w:val="21345B47"/>
    <w:rsid w:val="214A5C77"/>
    <w:rsid w:val="216A3A27"/>
    <w:rsid w:val="21D12A33"/>
    <w:rsid w:val="228228F6"/>
    <w:rsid w:val="235A5C34"/>
    <w:rsid w:val="23625501"/>
    <w:rsid w:val="23CF7F98"/>
    <w:rsid w:val="23F16472"/>
    <w:rsid w:val="242E655D"/>
    <w:rsid w:val="24CB5D8D"/>
    <w:rsid w:val="24FF030B"/>
    <w:rsid w:val="2526789E"/>
    <w:rsid w:val="258A5E69"/>
    <w:rsid w:val="262D38B6"/>
    <w:rsid w:val="2652202F"/>
    <w:rsid w:val="26DE27AA"/>
    <w:rsid w:val="278A4A6C"/>
    <w:rsid w:val="28E1321B"/>
    <w:rsid w:val="28F04F45"/>
    <w:rsid w:val="293B18F8"/>
    <w:rsid w:val="29533E0E"/>
    <w:rsid w:val="2AA1308E"/>
    <w:rsid w:val="2AAC0EC5"/>
    <w:rsid w:val="2D720248"/>
    <w:rsid w:val="2EAA4331"/>
    <w:rsid w:val="2EC804F9"/>
    <w:rsid w:val="2EF62B7F"/>
    <w:rsid w:val="2F562547"/>
    <w:rsid w:val="2F952170"/>
    <w:rsid w:val="30872B4A"/>
    <w:rsid w:val="30A270D0"/>
    <w:rsid w:val="30BD6D40"/>
    <w:rsid w:val="30E820A2"/>
    <w:rsid w:val="30F90431"/>
    <w:rsid w:val="31595293"/>
    <w:rsid w:val="319E50DD"/>
    <w:rsid w:val="328233BA"/>
    <w:rsid w:val="333950ED"/>
    <w:rsid w:val="33CE733D"/>
    <w:rsid w:val="343D54F9"/>
    <w:rsid w:val="344A3C3B"/>
    <w:rsid w:val="349879D0"/>
    <w:rsid w:val="352A4CE9"/>
    <w:rsid w:val="3535773F"/>
    <w:rsid w:val="354D5DCF"/>
    <w:rsid w:val="355A200B"/>
    <w:rsid w:val="359800CD"/>
    <w:rsid w:val="362C4BBC"/>
    <w:rsid w:val="364B54FC"/>
    <w:rsid w:val="36844279"/>
    <w:rsid w:val="37733A92"/>
    <w:rsid w:val="37B7394C"/>
    <w:rsid w:val="37D11D26"/>
    <w:rsid w:val="37F10F9C"/>
    <w:rsid w:val="3889754D"/>
    <w:rsid w:val="38BF2804"/>
    <w:rsid w:val="38D34321"/>
    <w:rsid w:val="391527FC"/>
    <w:rsid w:val="39B35B0C"/>
    <w:rsid w:val="3A0F5F52"/>
    <w:rsid w:val="3A440D5F"/>
    <w:rsid w:val="3B442A0A"/>
    <w:rsid w:val="3B5F6C98"/>
    <w:rsid w:val="3C0B0163"/>
    <w:rsid w:val="3C252C83"/>
    <w:rsid w:val="3C54268A"/>
    <w:rsid w:val="3C901F01"/>
    <w:rsid w:val="3CC028E1"/>
    <w:rsid w:val="3CE35697"/>
    <w:rsid w:val="3D1D11EC"/>
    <w:rsid w:val="3DCA1C5D"/>
    <w:rsid w:val="3ECC0E2D"/>
    <w:rsid w:val="3F5D6D40"/>
    <w:rsid w:val="3F877560"/>
    <w:rsid w:val="40171669"/>
    <w:rsid w:val="42236E53"/>
    <w:rsid w:val="424C39D3"/>
    <w:rsid w:val="42CF7580"/>
    <w:rsid w:val="430C3195"/>
    <w:rsid w:val="433233F9"/>
    <w:rsid w:val="43556ED6"/>
    <w:rsid w:val="43FD7804"/>
    <w:rsid w:val="444D4811"/>
    <w:rsid w:val="44500338"/>
    <w:rsid w:val="44AE5BE8"/>
    <w:rsid w:val="44FF7906"/>
    <w:rsid w:val="452D5D59"/>
    <w:rsid w:val="462F6081"/>
    <w:rsid w:val="46377F4B"/>
    <w:rsid w:val="46AC675F"/>
    <w:rsid w:val="47150427"/>
    <w:rsid w:val="481E10DE"/>
    <w:rsid w:val="493871AA"/>
    <w:rsid w:val="495F0AFA"/>
    <w:rsid w:val="49B91655"/>
    <w:rsid w:val="49CE2F7B"/>
    <w:rsid w:val="4AAC2948"/>
    <w:rsid w:val="4ABE58EB"/>
    <w:rsid w:val="4BC86B33"/>
    <w:rsid w:val="4C581B6E"/>
    <w:rsid w:val="4C6A3CEB"/>
    <w:rsid w:val="4CA4595B"/>
    <w:rsid w:val="4CA77AD0"/>
    <w:rsid w:val="4D2762E2"/>
    <w:rsid w:val="4D2D4F39"/>
    <w:rsid w:val="4D562D9A"/>
    <w:rsid w:val="4D8D609C"/>
    <w:rsid w:val="4D9F0869"/>
    <w:rsid w:val="4DD34311"/>
    <w:rsid w:val="4DF64C0B"/>
    <w:rsid w:val="4E03120E"/>
    <w:rsid w:val="4E09385C"/>
    <w:rsid w:val="4E81595B"/>
    <w:rsid w:val="4F330BC9"/>
    <w:rsid w:val="4F734B61"/>
    <w:rsid w:val="4F7C17BD"/>
    <w:rsid w:val="4FA44159"/>
    <w:rsid w:val="4FE80E46"/>
    <w:rsid w:val="509734AD"/>
    <w:rsid w:val="517066D4"/>
    <w:rsid w:val="51782E52"/>
    <w:rsid w:val="52227B1B"/>
    <w:rsid w:val="5256682A"/>
    <w:rsid w:val="52DE46BA"/>
    <w:rsid w:val="52F128F1"/>
    <w:rsid w:val="53561C0C"/>
    <w:rsid w:val="540F3658"/>
    <w:rsid w:val="54476F16"/>
    <w:rsid w:val="545C1EDE"/>
    <w:rsid w:val="54685CB7"/>
    <w:rsid w:val="54730FAB"/>
    <w:rsid w:val="54866D0B"/>
    <w:rsid w:val="54E919F4"/>
    <w:rsid w:val="55396B0F"/>
    <w:rsid w:val="554907A3"/>
    <w:rsid w:val="55A934DA"/>
    <w:rsid w:val="55AB4E86"/>
    <w:rsid w:val="55F705EB"/>
    <w:rsid w:val="55F834AC"/>
    <w:rsid w:val="5705646A"/>
    <w:rsid w:val="573C5444"/>
    <w:rsid w:val="577C5EC6"/>
    <w:rsid w:val="57A82338"/>
    <w:rsid w:val="583B683F"/>
    <w:rsid w:val="59A616C9"/>
    <w:rsid w:val="5A2C45A7"/>
    <w:rsid w:val="5A5D6C91"/>
    <w:rsid w:val="5AA10488"/>
    <w:rsid w:val="5AB63B9F"/>
    <w:rsid w:val="5B160B48"/>
    <w:rsid w:val="5B527506"/>
    <w:rsid w:val="5B571756"/>
    <w:rsid w:val="5C2F5AA9"/>
    <w:rsid w:val="5D433ACC"/>
    <w:rsid w:val="5D956FA9"/>
    <w:rsid w:val="5DB71F8E"/>
    <w:rsid w:val="5E2E7D5F"/>
    <w:rsid w:val="5E5B3E79"/>
    <w:rsid w:val="5E860EA4"/>
    <w:rsid w:val="5F140410"/>
    <w:rsid w:val="5F5A154E"/>
    <w:rsid w:val="5FE642E3"/>
    <w:rsid w:val="60414BDA"/>
    <w:rsid w:val="60555E53"/>
    <w:rsid w:val="610D3CB3"/>
    <w:rsid w:val="610F21B3"/>
    <w:rsid w:val="620C6CE6"/>
    <w:rsid w:val="630626A4"/>
    <w:rsid w:val="63D76166"/>
    <w:rsid w:val="64306C46"/>
    <w:rsid w:val="64E966E0"/>
    <w:rsid w:val="650E272D"/>
    <w:rsid w:val="661B62EC"/>
    <w:rsid w:val="663F0AD0"/>
    <w:rsid w:val="666B0C49"/>
    <w:rsid w:val="666C73DB"/>
    <w:rsid w:val="672E281B"/>
    <w:rsid w:val="67753AAA"/>
    <w:rsid w:val="68B84763"/>
    <w:rsid w:val="68CE6147"/>
    <w:rsid w:val="68EC39D1"/>
    <w:rsid w:val="690601EE"/>
    <w:rsid w:val="696E155E"/>
    <w:rsid w:val="697A6842"/>
    <w:rsid w:val="6AE82ED2"/>
    <w:rsid w:val="6AF4013B"/>
    <w:rsid w:val="6AFE70EE"/>
    <w:rsid w:val="6B83099F"/>
    <w:rsid w:val="6BC41D16"/>
    <w:rsid w:val="6CC46B9B"/>
    <w:rsid w:val="6CD93F59"/>
    <w:rsid w:val="6D89353F"/>
    <w:rsid w:val="6DD564D3"/>
    <w:rsid w:val="6E270ECE"/>
    <w:rsid w:val="6E6329A3"/>
    <w:rsid w:val="6EBC7482"/>
    <w:rsid w:val="6EDB4734"/>
    <w:rsid w:val="711E7896"/>
    <w:rsid w:val="713F7420"/>
    <w:rsid w:val="714526D2"/>
    <w:rsid w:val="715D7C1F"/>
    <w:rsid w:val="717D4941"/>
    <w:rsid w:val="71D13AC3"/>
    <w:rsid w:val="71D43889"/>
    <w:rsid w:val="72B94C7B"/>
    <w:rsid w:val="73017028"/>
    <w:rsid w:val="731F0362"/>
    <w:rsid w:val="738C3375"/>
    <w:rsid w:val="73BB721B"/>
    <w:rsid w:val="74880F28"/>
    <w:rsid w:val="749A75DF"/>
    <w:rsid w:val="74BD5B20"/>
    <w:rsid w:val="74F77BA1"/>
    <w:rsid w:val="753D6062"/>
    <w:rsid w:val="75441C8F"/>
    <w:rsid w:val="755C2F77"/>
    <w:rsid w:val="75796E37"/>
    <w:rsid w:val="75F72359"/>
    <w:rsid w:val="76010B9E"/>
    <w:rsid w:val="76FC27B3"/>
    <w:rsid w:val="77D104F0"/>
    <w:rsid w:val="78872E4F"/>
    <w:rsid w:val="794A1750"/>
    <w:rsid w:val="795177CD"/>
    <w:rsid w:val="796D0FBA"/>
    <w:rsid w:val="799D4EB6"/>
    <w:rsid w:val="79D0202E"/>
    <w:rsid w:val="79D56E73"/>
    <w:rsid w:val="7A175525"/>
    <w:rsid w:val="7A360A42"/>
    <w:rsid w:val="7B01674D"/>
    <w:rsid w:val="7B143A6F"/>
    <w:rsid w:val="7B1E2407"/>
    <w:rsid w:val="7BA35F5E"/>
    <w:rsid w:val="7C7152AA"/>
    <w:rsid w:val="7C7D0883"/>
    <w:rsid w:val="7CAD0017"/>
    <w:rsid w:val="7CDA2B8E"/>
    <w:rsid w:val="7CEE3B38"/>
    <w:rsid w:val="7D742D6D"/>
    <w:rsid w:val="7DC94A4D"/>
    <w:rsid w:val="7EB962A7"/>
    <w:rsid w:val="7EDE4278"/>
    <w:rsid w:val="7F4A65E6"/>
    <w:rsid w:val="7F624C64"/>
    <w:rsid w:val="7F7676AB"/>
    <w:rsid w:val="7F820388"/>
    <w:rsid w:val="7FBA7263"/>
    <w:rsid w:val="7FBA7800"/>
    <w:rsid w:val="7FF86FB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4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nhideWhenUsed="0" w:uiPriority="39" w:semiHidden="0" w:name="toc 8"/>
    <w:lsdException w:qFormat="1" w:uiPriority="39" w:semiHidden="0" w:name="toc 9"/>
    <w:lsdException w:qFormat="1" w:uiPriority="99"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22" w:semiHidden="0" w:name="Strong"/>
    <w:lsdException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beforeLines="50" w:line="360" w:lineRule="auto"/>
      <w:ind w:firstLine="200" w:firstLineChars="200"/>
      <w:jc w:val="both"/>
    </w:pPr>
    <w:rPr>
      <w:rFonts w:ascii="Times New Roman" w:hAnsi="Times New Roman" w:eastAsia="仿宋_GB2312" w:cs="Times New Roman"/>
      <w:kern w:val="2"/>
      <w:sz w:val="24"/>
      <w:szCs w:val="24"/>
      <w:lang w:val="en-US" w:eastAsia="zh-CN" w:bidi="ar-SA"/>
    </w:rPr>
  </w:style>
  <w:style w:type="paragraph" w:styleId="2">
    <w:name w:val="heading 1"/>
    <w:next w:val="1"/>
    <w:link w:val="39"/>
    <w:qFormat/>
    <w:uiPriority w:val="0"/>
    <w:pPr>
      <w:keepNext/>
      <w:keepLines/>
      <w:numPr>
        <w:ilvl w:val="0"/>
        <w:numId w:val="1"/>
      </w:numPr>
      <w:spacing w:before="200" w:after="200" w:line="420" w:lineRule="auto"/>
      <w:outlineLvl w:val="0"/>
    </w:pPr>
    <w:rPr>
      <w:rFonts w:ascii="Times New Roman" w:hAnsi="Times New Roman" w:eastAsia="仿宋_GB2312" w:cs="Times New Roman"/>
      <w:b/>
      <w:kern w:val="44"/>
      <w:sz w:val="30"/>
      <w:szCs w:val="30"/>
      <w:lang w:val="en-US" w:eastAsia="zh-CN" w:bidi="ar-SA"/>
    </w:rPr>
  </w:style>
  <w:style w:type="paragraph" w:styleId="3">
    <w:name w:val="heading 2"/>
    <w:basedOn w:val="2"/>
    <w:next w:val="1"/>
    <w:link w:val="40"/>
    <w:qFormat/>
    <w:uiPriority w:val="9"/>
    <w:pPr>
      <w:numPr>
        <w:ilvl w:val="1"/>
      </w:numPr>
      <w:spacing w:beforeLines="50" w:afterLines="50"/>
      <w:outlineLvl w:val="1"/>
    </w:pPr>
    <w:rPr>
      <w:b w:val="0"/>
      <w:sz w:val="28"/>
      <w:szCs w:val="28"/>
    </w:rPr>
  </w:style>
  <w:style w:type="paragraph" w:styleId="4">
    <w:name w:val="heading 3"/>
    <w:basedOn w:val="1"/>
    <w:next w:val="1"/>
    <w:link w:val="41"/>
    <w:qFormat/>
    <w:uiPriority w:val="9"/>
    <w:pPr>
      <w:keepNext/>
      <w:keepLines/>
      <w:widowControl w:val="0"/>
      <w:numPr>
        <w:ilvl w:val="2"/>
        <w:numId w:val="1"/>
      </w:numPr>
      <w:adjustRightInd/>
      <w:snapToGrid/>
      <w:spacing w:before="50" w:line="420" w:lineRule="auto"/>
      <w:ind w:left="0" w:firstLine="0" w:firstLineChars="0"/>
      <w:jc w:val="left"/>
      <w:outlineLvl w:val="2"/>
    </w:pPr>
  </w:style>
  <w:style w:type="paragraph" w:styleId="5">
    <w:name w:val="heading 4"/>
    <w:basedOn w:val="1"/>
    <w:next w:val="1"/>
    <w:link w:val="42"/>
    <w:qFormat/>
    <w:uiPriority w:val="9"/>
    <w:pPr>
      <w:keepNext/>
      <w:keepLines/>
      <w:widowControl w:val="0"/>
      <w:numPr>
        <w:ilvl w:val="3"/>
        <w:numId w:val="1"/>
      </w:numPr>
      <w:adjustRightInd/>
      <w:snapToGrid/>
      <w:spacing w:before="50" w:line="420" w:lineRule="auto"/>
      <w:ind w:left="0" w:firstLine="0" w:firstLineChars="0"/>
      <w:jc w:val="left"/>
      <w:outlineLvl w:val="3"/>
    </w:pPr>
  </w:style>
  <w:style w:type="paragraph" w:styleId="6">
    <w:name w:val="heading 5"/>
    <w:basedOn w:val="1"/>
    <w:next w:val="1"/>
    <w:link w:val="43"/>
    <w:unhideWhenUsed/>
    <w:qFormat/>
    <w:uiPriority w:val="9"/>
    <w:pPr>
      <w:keepNext/>
      <w:keepLines/>
      <w:widowControl w:val="0"/>
      <w:numPr>
        <w:ilvl w:val="4"/>
        <w:numId w:val="1"/>
      </w:numPr>
      <w:adjustRightInd/>
      <w:snapToGrid/>
      <w:spacing w:before="280" w:after="290" w:line="376" w:lineRule="auto"/>
      <w:ind w:firstLine="0" w:firstLineChars="0"/>
      <w:outlineLvl w:val="4"/>
    </w:pPr>
    <w:rPr>
      <w:b/>
      <w:bCs/>
      <w:szCs w:val="28"/>
    </w:rPr>
  </w:style>
  <w:style w:type="paragraph" w:styleId="7">
    <w:name w:val="heading 6"/>
    <w:basedOn w:val="1"/>
    <w:next w:val="1"/>
    <w:link w:val="44"/>
    <w:unhideWhenUsed/>
    <w:qFormat/>
    <w:uiPriority w:val="9"/>
    <w:pPr>
      <w:keepNext/>
      <w:keepLines/>
      <w:widowControl w:val="0"/>
      <w:numPr>
        <w:ilvl w:val="5"/>
        <w:numId w:val="1"/>
      </w:numPr>
      <w:adjustRightInd/>
      <w:snapToGrid/>
      <w:spacing w:before="240" w:after="64" w:line="320" w:lineRule="auto"/>
      <w:ind w:firstLine="0" w:firstLineChars="0"/>
      <w:outlineLvl w:val="5"/>
    </w:pPr>
    <w:rPr>
      <w:rFonts w:ascii="Cambria" w:hAnsi="Cambria" w:eastAsia="宋体"/>
      <w:b/>
      <w:bCs/>
    </w:rPr>
  </w:style>
  <w:style w:type="paragraph" w:styleId="8">
    <w:name w:val="heading 7"/>
    <w:basedOn w:val="1"/>
    <w:next w:val="1"/>
    <w:link w:val="45"/>
    <w:unhideWhenUsed/>
    <w:qFormat/>
    <w:uiPriority w:val="9"/>
    <w:pPr>
      <w:keepNext/>
      <w:keepLines/>
      <w:widowControl w:val="0"/>
      <w:numPr>
        <w:ilvl w:val="6"/>
        <w:numId w:val="1"/>
      </w:numPr>
      <w:adjustRightInd/>
      <w:snapToGrid/>
      <w:spacing w:before="240" w:after="64" w:line="320" w:lineRule="auto"/>
      <w:ind w:firstLine="0" w:firstLineChars="0"/>
      <w:outlineLvl w:val="6"/>
    </w:pPr>
    <w:rPr>
      <w:b/>
      <w:bCs/>
    </w:rPr>
  </w:style>
  <w:style w:type="paragraph" w:styleId="9">
    <w:name w:val="heading 8"/>
    <w:basedOn w:val="1"/>
    <w:next w:val="1"/>
    <w:link w:val="46"/>
    <w:unhideWhenUsed/>
    <w:qFormat/>
    <w:uiPriority w:val="9"/>
    <w:pPr>
      <w:keepNext/>
      <w:keepLines/>
      <w:widowControl w:val="0"/>
      <w:numPr>
        <w:ilvl w:val="7"/>
        <w:numId w:val="1"/>
      </w:numPr>
      <w:adjustRightInd/>
      <w:snapToGrid/>
      <w:spacing w:before="240" w:after="64" w:line="320" w:lineRule="auto"/>
      <w:ind w:firstLine="0" w:firstLineChars="0"/>
      <w:outlineLvl w:val="7"/>
    </w:pPr>
    <w:rPr>
      <w:rFonts w:ascii="Cambria" w:hAnsi="Cambria" w:eastAsia="宋体"/>
    </w:rPr>
  </w:style>
  <w:style w:type="paragraph" w:styleId="10">
    <w:name w:val="heading 9"/>
    <w:basedOn w:val="1"/>
    <w:next w:val="1"/>
    <w:link w:val="47"/>
    <w:unhideWhenUsed/>
    <w:qFormat/>
    <w:uiPriority w:val="9"/>
    <w:pPr>
      <w:keepNext/>
      <w:keepLines/>
      <w:widowControl w:val="0"/>
      <w:numPr>
        <w:ilvl w:val="8"/>
        <w:numId w:val="1"/>
      </w:numPr>
      <w:adjustRightInd/>
      <w:snapToGrid/>
      <w:spacing w:before="240" w:after="64" w:line="320" w:lineRule="auto"/>
      <w:ind w:firstLine="0" w:firstLineChars="0"/>
      <w:outlineLvl w:val="8"/>
    </w:pPr>
    <w:rPr>
      <w:rFonts w:ascii="Cambria" w:hAnsi="Cambria" w:eastAsia="宋体"/>
      <w:sz w:val="21"/>
      <w:szCs w:val="21"/>
    </w:rPr>
  </w:style>
  <w:style w:type="character" w:default="1" w:styleId="34">
    <w:name w:val="Default Paragraph Font"/>
    <w:semiHidden/>
    <w:unhideWhenUsed/>
    <w:uiPriority w:val="1"/>
  </w:style>
  <w:style w:type="table" w:default="1" w:styleId="32">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11">
    <w:name w:val="toc 7"/>
    <w:basedOn w:val="1"/>
    <w:next w:val="1"/>
    <w:unhideWhenUsed/>
    <w:qFormat/>
    <w:uiPriority w:val="39"/>
    <w:pPr>
      <w:widowControl w:val="0"/>
      <w:adjustRightInd/>
      <w:snapToGrid/>
      <w:spacing w:beforeLines="0" w:line="240" w:lineRule="auto"/>
      <w:ind w:left="2520" w:leftChars="1200" w:firstLine="0" w:firstLineChars="0"/>
    </w:pPr>
    <w:rPr>
      <w:rFonts w:asciiTheme="minorHAnsi" w:hAnsiTheme="minorHAnsi" w:eastAsiaTheme="minorEastAsia" w:cstheme="minorBidi"/>
      <w:sz w:val="21"/>
      <w:szCs w:val="22"/>
    </w:rPr>
  </w:style>
  <w:style w:type="paragraph" w:styleId="12">
    <w:name w:val="Normal Indent"/>
    <w:basedOn w:val="1"/>
    <w:unhideWhenUsed/>
    <w:qFormat/>
    <w:uiPriority w:val="99"/>
    <w:pPr>
      <w:adjustRightInd/>
      <w:snapToGrid/>
      <w:spacing w:beforeLines="0" w:line="240" w:lineRule="auto"/>
      <w:ind w:firstLine="420" w:firstLineChars="0"/>
      <w:jc w:val="left"/>
    </w:pPr>
    <w:rPr>
      <w:rFonts w:ascii="金山简魏碑" w:hAnsi="宋体" w:eastAsia="宋体" w:cs="宋体"/>
      <w:kern w:val="0"/>
    </w:rPr>
  </w:style>
  <w:style w:type="paragraph" w:styleId="13">
    <w:name w:val="caption"/>
    <w:basedOn w:val="1"/>
    <w:next w:val="1"/>
    <w:link w:val="59"/>
    <w:unhideWhenUsed/>
    <w:qFormat/>
    <w:uiPriority w:val="0"/>
    <w:pPr>
      <w:widowControl w:val="0"/>
      <w:adjustRightInd/>
      <w:snapToGrid/>
      <w:spacing w:beforeLines="0" w:line="240" w:lineRule="exact"/>
      <w:ind w:firstLine="0" w:firstLineChars="0"/>
      <w:jc w:val="left"/>
    </w:pPr>
    <w:rPr>
      <w:szCs w:val="20"/>
    </w:rPr>
  </w:style>
  <w:style w:type="paragraph" w:styleId="14">
    <w:name w:val="Document Map"/>
    <w:basedOn w:val="1"/>
    <w:link w:val="48"/>
    <w:unhideWhenUsed/>
    <w:qFormat/>
    <w:uiPriority w:val="99"/>
    <w:rPr>
      <w:rFonts w:ascii="宋体" w:eastAsia="宋体"/>
      <w:sz w:val="18"/>
      <w:szCs w:val="18"/>
    </w:rPr>
  </w:style>
  <w:style w:type="paragraph" w:styleId="15">
    <w:name w:val="annotation text"/>
    <w:basedOn w:val="1"/>
    <w:link w:val="75"/>
    <w:unhideWhenUsed/>
    <w:qFormat/>
    <w:uiPriority w:val="99"/>
    <w:pPr>
      <w:jc w:val="left"/>
    </w:pPr>
  </w:style>
  <w:style w:type="paragraph" w:styleId="16">
    <w:name w:val="Body Text Indent"/>
    <w:basedOn w:val="1"/>
    <w:link w:val="55"/>
    <w:qFormat/>
    <w:uiPriority w:val="0"/>
    <w:pPr>
      <w:widowControl w:val="0"/>
      <w:autoSpaceDE w:val="0"/>
      <w:autoSpaceDN w:val="0"/>
      <w:snapToGrid/>
      <w:spacing w:beforeLines="0"/>
      <w:ind w:firstLine="0" w:firstLineChars="0"/>
      <w:jc w:val="center"/>
      <w:textAlignment w:val="baseline"/>
    </w:pPr>
    <w:rPr>
      <w:b/>
      <w:kern w:val="0"/>
      <w:szCs w:val="20"/>
    </w:rPr>
  </w:style>
  <w:style w:type="paragraph" w:styleId="17">
    <w:name w:val="toc 5"/>
    <w:basedOn w:val="1"/>
    <w:next w:val="1"/>
    <w:unhideWhenUsed/>
    <w:qFormat/>
    <w:uiPriority w:val="39"/>
    <w:pPr>
      <w:widowControl w:val="0"/>
      <w:adjustRightInd/>
      <w:snapToGrid/>
      <w:spacing w:beforeLines="0" w:line="240" w:lineRule="auto"/>
      <w:ind w:left="1680" w:leftChars="800" w:firstLine="0" w:firstLineChars="0"/>
    </w:pPr>
    <w:rPr>
      <w:rFonts w:asciiTheme="minorHAnsi" w:hAnsiTheme="minorHAnsi" w:eastAsiaTheme="minorEastAsia" w:cstheme="minorBidi"/>
      <w:sz w:val="21"/>
      <w:szCs w:val="22"/>
    </w:rPr>
  </w:style>
  <w:style w:type="paragraph" w:styleId="18">
    <w:name w:val="toc 3"/>
    <w:basedOn w:val="1"/>
    <w:next w:val="1"/>
    <w:unhideWhenUsed/>
    <w:qFormat/>
    <w:uiPriority w:val="39"/>
    <w:pPr>
      <w:tabs>
        <w:tab w:val="left" w:pos="2520"/>
        <w:tab w:val="right" w:leader="dot" w:pos="8296"/>
      </w:tabs>
      <w:spacing w:before="120"/>
      <w:ind w:left="1120" w:leftChars="400" w:firstLine="560"/>
    </w:pPr>
  </w:style>
  <w:style w:type="paragraph" w:styleId="19">
    <w:name w:val="Plain Text"/>
    <w:basedOn w:val="1"/>
    <w:link w:val="50"/>
    <w:qFormat/>
    <w:uiPriority w:val="0"/>
    <w:pPr>
      <w:widowControl w:val="0"/>
      <w:adjustRightInd/>
      <w:snapToGrid/>
      <w:spacing w:beforeLines="0" w:line="240" w:lineRule="auto"/>
      <w:ind w:firstLine="0" w:firstLineChars="0"/>
    </w:pPr>
    <w:rPr>
      <w:rFonts w:ascii="宋体" w:hAnsi="Courier New" w:eastAsia="宋体" w:cs="Courier New"/>
      <w:sz w:val="21"/>
      <w:szCs w:val="21"/>
    </w:rPr>
  </w:style>
  <w:style w:type="paragraph" w:styleId="20">
    <w:name w:val="toc 8"/>
    <w:basedOn w:val="1"/>
    <w:next w:val="1"/>
    <w:qFormat/>
    <w:uiPriority w:val="39"/>
    <w:pPr>
      <w:widowControl w:val="0"/>
      <w:autoSpaceDE w:val="0"/>
      <w:autoSpaceDN w:val="0"/>
      <w:snapToGrid/>
      <w:spacing w:beforeLines="0"/>
      <w:ind w:left="1680" w:firstLine="482" w:firstLineChars="0"/>
      <w:jc w:val="left"/>
      <w:textAlignment w:val="baseline"/>
    </w:pPr>
    <w:rPr>
      <w:rFonts w:eastAsia="宋体"/>
      <w:kern w:val="0"/>
      <w:sz w:val="18"/>
      <w:szCs w:val="18"/>
    </w:rPr>
  </w:style>
  <w:style w:type="paragraph" w:styleId="21">
    <w:name w:val="Body Text Indent 2"/>
    <w:basedOn w:val="1"/>
    <w:link w:val="60"/>
    <w:qFormat/>
    <w:uiPriority w:val="0"/>
    <w:pPr>
      <w:widowControl w:val="0"/>
      <w:autoSpaceDE w:val="0"/>
      <w:autoSpaceDN w:val="0"/>
      <w:snapToGrid/>
      <w:spacing w:beforeLines="0" w:after="120" w:line="480" w:lineRule="auto"/>
      <w:ind w:left="420" w:leftChars="200" w:firstLine="482" w:firstLineChars="0"/>
      <w:textAlignment w:val="baseline"/>
    </w:pPr>
    <w:rPr>
      <w:rFonts w:eastAsia="宋体"/>
      <w:kern w:val="0"/>
      <w:szCs w:val="20"/>
    </w:rPr>
  </w:style>
  <w:style w:type="paragraph" w:styleId="22">
    <w:name w:val="Balloon Text"/>
    <w:basedOn w:val="1"/>
    <w:link w:val="73"/>
    <w:unhideWhenUsed/>
    <w:qFormat/>
    <w:uiPriority w:val="99"/>
    <w:pPr>
      <w:spacing w:line="240" w:lineRule="auto"/>
    </w:pPr>
    <w:rPr>
      <w:sz w:val="18"/>
      <w:szCs w:val="18"/>
    </w:rPr>
  </w:style>
  <w:style w:type="paragraph" w:styleId="23">
    <w:name w:val="footer"/>
    <w:basedOn w:val="1"/>
    <w:link w:val="38"/>
    <w:unhideWhenUsed/>
    <w:qFormat/>
    <w:uiPriority w:val="99"/>
    <w:pPr>
      <w:tabs>
        <w:tab w:val="center" w:pos="4153"/>
        <w:tab w:val="right" w:pos="8306"/>
      </w:tabs>
    </w:pPr>
    <w:rPr>
      <w:sz w:val="18"/>
      <w:szCs w:val="18"/>
    </w:rPr>
  </w:style>
  <w:style w:type="paragraph" w:styleId="24">
    <w:name w:val="header"/>
    <w:basedOn w:val="1"/>
    <w:link w:val="37"/>
    <w:unhideWhenUsed/>
    <w:qFormat/>
    <w:uiPriority w:val="99"/>
    <w:pPr>
      <w:pBdr>
        <w:bottom w:val="single" w:color="auto" w:sz="6" w:space="1"/>
      </w:pBdr>
      <w:tabs>
        <w:tab w:val="center" w:pos="4153"/>
        <w:tab w:val="right" w:pos="8306"/>
      </w:tabs>
      <w:jc w:val="center"/>
    </w:pPr>
    <w:rPr>
      <w:sz w:val="18"/>
      <w:szCs w:val="18"/>
    </w:rPr>
  </w:style>
  <w:style w:type="paragraph" w:styleId="25">
    <w:name w:val="toc 1"/>
    <w:basedOn w:val="1"/>
    <w:next w:val="1"/>
    <w:unhideWhenUsed/>
    <w:qFormat/>
    <w:uiPriority w:val="39"/>
  </w:style>
  <w:style w:type="paragraph" w:styleId="26">
    <w:name w:val="toc 4"/>
    <w:basedOn w:val="1"/>
    <w:next w:val="1"/>
    <w:unhideWhenUsed/>
    <w:qFormat/>
    <w:uiPriority w:val="39"/>
    <w:pPr>
      <w:widowControl w:val="0"/>
      <w:adjustRightInd/>
      <w:snapToGrid/>
      <w:spacing w:beforeLines="0" w:line="240" w:lineRule="auto"/>
      <w:ind w:left="1260" w:leftChars="600" w:firstLine="0" w:firstLineChars="0"/>
    </w:pPr>
    <w:rPr>
      <w:rFonts w:asciiTheme="minorHAnsi" w:hAnsiTheme="minorHAnsi" w:eastAsiaTheme="minorEastAsia" w:cstheme="minorBidi"/>
      <w:sz w:val="21"/>
      <w:szCs w:val="22"/>
    </w:rPr>
  </w:style>
  <w:style w:type="paragraph" w:styleId="27">
    <w:name w:val="toc 6"/>
    <w:basedOn w:val="1"/>
    <w:next w:val="1"/>
    <w:unhideWhenUsed/>
    <w:qFormat/>
    <w:uiPriority w:val="39"/>
    <w:pPr>
      <w:widowControl w:val="0"/>
      <w:adjustRightInd/>
      <w:snapToGrid/>
      <w:spacing w:beforeLines="0" w:line="240" w:lineRule="auto"/>
      <w:ind w:left="2100" w:leftChars="1000" w:firstLine="0" w:firstLineChars="0"/>
    </w:pPr>
    <w:rPr>
      <w:rFonts w:asciiTheme="minorHAnsi" w:hAnsiTheme="minorHAnsi" w:eastAsiaTheme="minorEastAsia" w:cstheme="minorBidi"/>
      <w:sz w:val="21"/>
      <w:szCs w:val="22"/>
    </w:rPr>
  </w:style>
  <w:style w:type="paragraph" w:styleId="28">
    <w:name w:val="toc 2"/>
    <w:basedOn w:val="1"/>
    <w:next w:val="1"/>
    <w:unhideWhenUsed/>
    <w:qFormat/>
    <w:uiPriority w:val="39"/>
    <w:pPr>
      <w:ind w:left="420" w:leftChars="200"/>
    </w:pPr>
  </w:style>
  <w:style w:type="paragraph" w:styleId="29">
    <w:name w:val="toc 9"/>
    <w:basedOn w:val="1"/>
    <w:next w:val="1"/>
    <w:unhideWhenUsed/>
    <w:qFormat/>
    <w:uiPriority w:val="39"/>
    <w:pPr>
      <w:widowControl w:val="0"/>
      <w:adjustRightInd/>
      <w:snapToGrid/>
      <w:spacing w:beforeLines="0" w:line="240" w:lineRule="auto"/>
      <w:ind w:left="3360" w:leftChars="1600" w:firstLine="0" w:firstLineChars="0"/>
    </w:pPr>
    <w:rPr>
      <w:rFonts w:asciiTheme="minorHAnsi" w:hAnsiTheme="minorHAnsi" w:eastAsiaTheme="minorEastAsia" w:cstheme="minorBidi"/>
      <w:sz w:val="21"/>
      <w:szCs w:val="22"/>
    </w:rPr>
  </w:style>
  <w:style w:type="paragraph" w:styleId="30">
    <w:name w:val="Normal (Web)"/>
    <w:basedOn w:val="1"/>
    <w:semiHidden/>
    <w:unhideWhenUsed/>
    <w:qFormat/>
    <w:uiPriority w:val="99"/>
  </w:style>
  <w:style w:type="paragraph" w:styleId="31">
    <w:name w:val="annotation subject"/>
    <w:basedOn w:val="15"/>
    <w:next w:val="15"/>
    <w:link w:val="76"/>
    <w:unhideWhenUsed/>
    <w:qFormat/>
    <w:uiPriority w:val="99"/>
    <w:rPr>
      <w:b/>
      <w:bCs/>
    </w:rPr>
  </w:style>
  <w:style w:type="table" w:styleId="33">
    <w:name w:val="Table Grid"/>
    <w:basedOn w:val="32"/>
    <w:qFormat/>
    <w:uiPriority w:val="0"/>
    <w:rPr>
      <w:rFonts w:eastAsiaTheme="minorEastAsia"/>
      <w:kern w:val="2"/>
      <w:sz w:val="21"/>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35">
    <w:name w:val="Hyperlink"/>
    <w:basedOn w:val="34"/>
    <w:unhideWhenUsed/>
    <w:qFormat/>
    <w:uiPriority w:val="99"/>
    <w:rPr>
      <w:color w:val="0000FF" w:themeColor="hyperlink"/>
      <w:u w:val="single"/>
    </w:rPr>
  </w:style>
  <w:style w:type="character" w:styleId="36">
    <w:name w:val="annotation reference"/>
    <w:basedOn w:val="34"/>
    <w:unhideWhenUsed/>
    <w:qFormat/>
    <w:uiPriority w:val="99"/>
    <w:rPr>
      <w:sz w:val="21"/>
      <w:szCs w:val="21"/>
    </w:rPr>
  </w:style>
  <w:style w:type="character" w:customStyle="1" w:styleId="37">
    <w:name w:val="页眉 Char"/>
    <w:basedOn w:val="34"/>
    <w:link w:val="24"/>
    <w:qFormat/>
    <w:uiPriority w:val="99"/>
    <w:rPr>
      <w:rFonts w:ascii="Tahoma" w:hAnsi="Tahoma"/>
      <w:sz w:val="18"/>
      <w:szCs w:val="18"/>
    </w:rPr>
  </w:style>
  <w:style w:type="character" w:customStyle="1" w:styleId="38">
    <w:name w:val="页脚 Char"/>
    <w:basedOn w:val="34"/>
    <w:link w:val="23"/>
    <w:qFormat/>
    <w:uiPriority w:val="99"/>
    <w:rPr>
      <w:rFonts w:ascii="Tahoma" w:hAnsi="Tahoma"/>
      <w:sz w:val="18"/>
      <w:szCs w:val="18"/>
    </w:rPr>
  </w:style>
  <w:style w:type="character" w:customStyle="1" w:styleId="39">
    <w:name w:val="标题 1 Char"/>
    <w:basedOn w:val="34"/>
    <w:link w:val="2"/>
    <w:qFormat/>
    <w:uiPriority w:val="0"/>
    <w:rPr>
      <w:rFonts w:ascii="Times New Roman" w:hAnsi="Times New Roman" w:eastAsia="仿宋_GB2312" w:cs="Times New Roman"/>
      <w:b/>
      <w:kern w:val="44"/>
      <w:sz w:val="30"/>
      <w:szCs w:val="30"/>
    </w:rPr>
  </w:style>
  <w:style w:type="character" w:customStyle="1" w:styleId="40">
    <w:name w:val="标题 2 Char"/>
    <w:basedOn w:val="34"/>
    <w:link w:val="3"/>
    <w:qFormat/>
    <w:uiPriority w:val="9"/>
    <w:rPr>
      <w:rFonts w:ascii="Times New Roman" w:hAnsi="Times New Roman" w:eastAsia="仿宋_GB2312" w:cs="Times New Roman"/>
      <w:kern w:val="44"/>
      <w:sz w:val="28"/>
      <w:szCs w:val="28"/>
    </w:rPr>
  </w:style>
  <w:style w:type="character" w:customStyle="1" w:styleId="41">
    <w:name w:val="标题 3 Char"/>
    <w:basedOn w:val="34"/>
    <w:link w:val="4"/>
    <w:qFormat/>
    <w:uiPriority w:val="9"/>
    <w:rPr>
      <w:rFonts w:ascii="Times New Roman" w:hAnsi="Times New Roman" w:eastAsia="仿宋_GB2312" w:cs="Times New Roman"/>
      <w:kern w:val="2"/>
      <w:sz w:val="28"/>
      <w:szCs w:val="24"/>
    </w:rPr>
  </w:style>
  <w:style w:type="character" w:customStyle="1" w:styleId="42">
    <w:name w:val="标题 4 Char"/>
    <w:basedOn w:val="34"/>
    <w:link w:val="5"/>
    <w:qFormat/>
    <w:uiPriority w:val="9"/>
    <w:rPr>
      <w:rFonts w:ascii="Times New Roman" w:hAnsi="Times New Roman" w:eastAsia="仿宋_GB2312" w:cs="Times New Roman"/>
      <w:kern w:val="2"/>
      <w:sz w:val="24"/>
      <w:szCs w:val="24"/>
    </w:rPr>
  </w:style>
  <w:style w:type="character" w:customStyle="1" w:styleId="43">
    <w:name w:val="标题 5 Char"/>
    <w:basedOn w:val="34"/>
    <w:link w:val="6"/>
    <w:qFormat/>
    <w:uiPriority w:val="9"/>
    <w:rPr>
      <w:rFonts w:ascii="Times New Roman" w:hAnsi="Times New Roman" w:eastAsia="仿宋_GB2312" w:cs="Times New Roman"/>
      <w:b/>
      <w:bCs/>
      <w:kern w:val="2"/>
      <w:sz w:val="28"/>
      <w:szCs w:val="28"/>
    </w:rPr>
  </w:style>
  <w:style w:type="character" w:customStyle="1" w:styleId="44">
    <w:name w:val="标题 6 Char"/>
    <w:basedOn w:val="34"/>
    <w:link w:val="7"/>
    <w:qFormat/>
    <w:uiPriority w:val="9"/>
    <w:rPr>
      <w:rFonts w:ascii="Cambria" w:hAnsi="Cambria" w:eastAsia="宋体" w:cs="Times New Roman"/>
      <w:b/>
      <w:bCs/>
      <w:kern w:val="2"/>
      <w:sz w:val="28"/>
      <w:szCs w:val="24"/>
    </w:rPr>
  </w:style>
  <w:style w:type="character" w:customStyle="1" w:styleId="45">
    <w:name w:val="标题 7 Char"/>
    <w:basedOn w:val="34"/>
    <w:link w:val="8"/>
    <w:qFormat/>
    <w:uiPriority w:val="9"/>
    <w:rPr>
      <w:rFonts w:ascii="Times New Roman" w:hAnsi="Times New Roman" w:eastAsia="仿宋_GB2312" w:cs="Times New Roman"/>
      <w:b/>
      <w:bCs/>
      <w:kern w:val="2"/>
      <w:sz w:val="28"/>
      <w:szCs w:val="24"/>
    </w:rPr>
  </w:style>
  <w:style w:type="character" w:customStyle="1" w:styleId="46">
    <w:name w:val="标题 8 Char"/>
    <w:basedOn w:val="34"/>
    <w:link w:val="9"/>
    <w:qFormat/>
    <w:uiPriority w:val="9"/>
    <w:rPr>
      <w:rFonts w:ascii="Cambria" w:hAnsi="Cambria" w:eastAsia="宋体" w:cs="Times New Roman"/>
      <w:kern w:val="2"/>
      <w:sz w:val="28"/>
      <w:szCs w:val="24"/>
    </w:rPr>
  </w:style>
  <w:style w:type="character" w:customStyle="1" w:styleId="47">
    <w:name w:val="标题 9 Char"/>
    <w:basedOn w:val="34"/>
    <w:link w:val="10"/>
    <w:qFormat/>
    <w:uiPriority w:val="9"/>
    <w:rPr>
      <w:rFonts w:ascii="Cambria" w:hAnsi="Cambria" w:eastAsia="宋体" w:cs="Times New Roman"/>
      <w:kern w:val="2"/>
      <w:sz w:val="21"/>
      <w:szCs w:val="21"/>
    </w:rPr>
  </w:style>
  <w:style w:type="character" w:customStyle="1" w:styleId="48">
    <w:name w:val="文档结构图 Char"/>
    <w:basedOn w:val="34"/>
    <w:link w:val="14"/>
    <w:semiHidden/>
    <w:qFormat/>
    <w:uiPriority w:val="99"/>
    <w:rPr>
      <w:rFonts w:ascii="宋体" w:hAnsi="Tahoma" w:eastAsia="宋体"/>
      <w:sz w:val="18"/>
      <w:szCs w:val="18"/>
    </w:rPr>
  </w:style>
  <w:style w:type="character" w:customStyle="1" w:styleId="49">
    <w:name w:val="纯文本 Char"/>
    <w:basedOn w:val="34"/>
    <w:qFormat/>
    <w:uiPriority w:val="0"/>
    <w:rPr>
      <w:rFonts w:ascii="宋体" w:hAnsi="Courier New" w:eastAsia="宋体" w:cs="Courier New"/>
      <w:kern w:val="2"/>
      <w:sz w:val="21"/>
      <w:szCs w:val="21"/>
    </w:rPr>
  </w:style>
  <w:style w:type="character" w:customStyle="1" w:styleId="50">
    <w:name w:val="纯文本 Char1"/>
    <w:basedOn w:val="34"/>
    <w:link w:val="19"/>
    <w:qFormat/>
    <w:uiPriority w:val="0"/>
    <w:rPr>
      <w:rFonts w:ascii="宋体" w:hAnsi="Courier New" w:eastAsia="宋体" w:cs="Courier New"/>
      <w:kern w:val="2"/>
      <w:sz w:val="21"/>
      <w:szCs w:val="21"/>
    </w:rPr>
  </w:style>
  <w:style w:type="character" w:customStyle="1" w:styleId="51">
    <w:name w:val="表 Char"/>
    <w:link w:val="52"/>
    <w:qFormat/>
    <w:uiPriority w:val="0"/>
    <w:rPr>
      <w:rFonts w:ascii="Times New Roman" w:hAnsi="Times New Roman" w:eastAsia="仿宋_GB2312"/>
      <w:color w:val="000000"/>
      <w:sz w:val="21"/>
      <w:szCs w:val="18"/>
    </w:rPr>
  </w:style>
  <w:style w:type="paragraph" w:customStyle="1" w:styleId="52">
    <w:name w:val="表"/>
    <w:basedOn w:val="1"/>
    <w:link w:val="51"/>
    <w:qFormat/>
    <w:uiPriority w:val="0"/>
    <w:pPr>
      <w:spacing w:beforeLines="0" w:line="240" w:lineRule="exact"/>
      <w:ind w:firstLine="0" w:firstLineChars="0"/>
      <w:jc w:val="center"/>
    </w:pPr>
    <w:rPr>
      <w:rFonts w:cstheme="minorBidi"/>
      <w:color w:val="000000"/>
      <w:kern w:val="0"/>
      <w:sz w:val="21"/>
      <w:szCs w:val="18"/>
    </w:rPr>
  </w:style>
  <w:style w:type="character" w:customStyle="1" w:styleId="53">
    <w:name w:val="表格题注 Char"/>
    <w:link w:val="54"/>
    <w:qFormat/>
    <w:uiPriority w:val="0"/>
    <w:rPr>
      <w:rFonts w:ascii="Times New Roman" w:hAnsi="Times New Roman" w:eastAsia="仿宋_GB2312"/>
      <w:sz w:val="24"/>
      <w:szCs w:val="24"/>
    </w:rPr>
  </w:style>
  <w:style w:type="paragraph" w:customStyle="1" w:styleId="54">
    <w:name w:val="表格题注"/>
    <w:basedOn w:val="1"/>
    <w:link w:val="53"/>
    <w:qFormat/>
    <w:uiPriority w:val="0"/>
    <w:pPr>
      <w:spacing w:beforeLines="0" w:after="60" w:line="240" w:lineRule="auto"/>
      <w:ind w:firstLine="0" w:firstLineChars="0"/>
      <w:jc w:val="center"/>
    </w:pPr>
    <w:rPr>
      <w:rFonts w:cstheme="minorBidi"/>
      <w:kern w:val="0"/>
    </w:rPr>
  </w:style>
  <w:style w:type="character" w:customStyle="1" w:styleId="55">
    <w:name w:val="正文文本缩进 Char"/>
    <w:basedOn w:val="34"/>
    <w:link w:val="16"/>
    <w:qFormat/>
    <w:uiPriority w:val="0"/>
    <w:rPr>
      <w:rFonts w:eastAsia="仿宋_GB2312"/>
      <w:b/>
      <w:sz w:val="24"/>
    </w:rPr>
  </w:style>
  <w:style w:type="paragraph" w:customStyle="1" w:styleId="56">
    <w:name w:val="样式 首行缩进:  2 字符"/>
    <w:basedOn w:val="1"/>
    <w:qFormat/>
    <w:uiPriority w:val="0"/>
    <w:pPr>
      <w:widowControl w:val="0"/>
      <w:autoSpaceDE w:val="0"/>
      <w:autoSpaceDN w:val="0"/>
      <w:spacing w:beforeLines="0"/>
    </w:pPr>
    <w:rPr>
      <w:rFonts w:eastAsia="宋体" w:cs="宋体"/>
      <w:kern w:val="0"/>
      <w:szCs w:val="20"/>
      <w:lang w:val="zh-CN"/>
    </w:rPr>
  </w:style>
  <w:style w:type="paragraph" w:customStyle="1" w:styleId="57">
    <w:name w:val="引用1"/>
    <w:basedOn w:val="1"/>
    <w:next w:val="1"/>
    <w:link w:val="58"/>
    <w:qFormat/>
    <w:uiPriority w:val="99"/>
    <w:pPr>
      <w:widowControl w:val="0"/>
      <w:adjustRightInd/>
      <w:snapToGrid/>
      <w:spacing w:before="50" w:line="240" w:lineRule="auto"/>
      <w:ind w:firstLine="0" w:firstLineChars="0"/>
      <w:jc w:val="center"/>
    </w:pPr>
    <w:rPr>
      <w:b/>
      <w:iCs/>
      <w:color w:val="000000"/>
    </w:rPr>
  </w:style>
  <w:style w:type="character" w:customStyle="1" w:styleId="58">
    <w:name w:val="引用 Char"/>
    <w:basedOn w:val="34"/>
    <w:link w:val="57"/>
    <w:qFormat/>
    <w:uiPriority w:val="99"/>
    <w:rPr>
      <w:rFonts w:ascii="Times New Roman" w:hAnsi="Times New Roman" w:eastAsia="仿宋_GB2312" w:cs="Times New Roman"/>
      <w:b/>
      <w:iCs/>
      <w:color w:val="000000"/>
      <w:kern w:val="2"/>
      <w:sz w:val="24"/>
      <w:szCs w:val="24"/>
    </w:rPr>
  </w:style>
  <w:style w:type="character" w:customStyle="1" w:styleId="59">
    <w:name w:val="题注 Char"/>
    <w:basedOn w:val="34"/>
    <w:link w:val="13"/>
    <w:qFormat/>
    <w:uiPriority w:val="0"/>
    <w:rPr>
      <w:rFonts w:eastAsia="仿宋_GB2312"/>
      <w:kern w:val="2"/>
      <w:sz w:val="24"/>
    </w:rPr>
  </w:style>
  <w:style w:type="character" w:customStyle="1" w:styleId="60">
    <w:name w:val="正文文本缩进 2 Char"/>
    <w:basedOn w:val="34"/>
    <w:link w:val="21"/>
    <w:qFormat/>
    <w:uiPriority w:val="0"/>
    <w:rPr>
      <w:rFonts w:ascii="Times New Roman" w:hAnsi="Times New Roman" w:eastAsia="宋体" w:cs="Times New Roman"/>
      <w:sz w:val="24"/>
      <w:szCs w:val="20"/>
    </w:rPr>
  </w:style>
  <w:style w:type="paragraph" w:customStyle="1" w:styleId="61">
    <w:name w:val="样式 首行缩进:  2 字符 段前: 0.5 行 段后: 0.5 行"/>
    <w:basedOn w:val="1"/>
    <w:qFormat/>
    <w:uiPriority w:val="0"/>
    <w:pPr>
      <w:widowControl w:val="0"/>
      <w:spacing w:beforeLines="0" w:after="120"/>
      <w:ind w:firstLine="480"/>
    </w:pPr>
    <w:rPr>
      <w:rFonts w:eastAsia="宋体"/>
      <w:szCs w:val="20"/>
    </w:rPr>
  </w:style>
  <w:style w:type="paragraph" w:customStyle="1" w:styleId="62">
    <w:name w:val="样式 标题 4标题 4 Char标题 41标题 4 Char Char1标题 4 Char Char Char标题 4...1"/>
    <w:basedOn w:val="5"/>
    <w:qFormat/>
    <w:uiPriority w:val="0"/>
    <w:pPr>
      <w:tabs>
        <w:tab w:val="left" w:pos="0"/>
      </w:tabs>
      <w:autoSpaceDE w:val="0"/>
      <w:autoSpaceDN w:val="0"/>
      <w:adjustRightInd w:val="0"/>
      <w:spacing w:line="360" w:lineRule="auto"/>
      <w:textAlignment w:val="baseline"/>
    </w:pPr>
    <w:rPr>
      <w:rFonts w:ascii="Times" w:hAnsi="Times" w:eastAsia="宋体" w:cs="宋体"/>
      <w:b/>
      <w:bCs/>
    </w:rPr>
  </w:style>
  <w:style w:type="paragraph" w:customStyle="1" w:styleId="63">
    <w:name w:val="样式 题注 + 左"/>
    <w:basedOn w:val="13"/>
    <w:qFormat/>
    <w:uiPriority w:val="0"/>
    <w:pPr>
      <w:adjustRightInd w:val="0"/>
      <w:snapToGrid w:val="0"/>
      <w:spacing w:line="240" w:lineRule="auto"/>
      <w:ind w:left="200" w:leftChars="200"/>
    </w:pPr>
    <w:rPr>
      <w:rFonts w:eastAsia="黑体" w:cs="宋体"/>
      <w:szCs w:val="21"/>
    </w:rPr>
  </w:style>
  <w:style w:type="paragraph" w:customStyle="1" w:styleId="64">
    <w:name w:val="样式 样式 样式 宋体 小四 行距: 1.5 倍行距 + 首行缩进:  2 字符 + 首行缩进:  2 字符"/>
    <w:basedOn w:val="1"/>
    <w:qFormat/>
    <w:uiPriority w:val="0"/>
    <w:pPr>
      <w:widowControl w:val="0"/>
      <w:spacing w:beforeLines="0"/>
    </w:pPr>
    <w:rPr>
      <w:rFonts w:eastAsia="宋体" w:cs="宋体"/>
      <w:szCs w:val="20"/>
    </w:rPr>
  </w:style>
  <w:style w:type="paragraph" w:customStyle="1" w:styleId="65">
    <w:name w:val="样式 样式 宋体 小四 行距: 1.5 倍行距 + 首行缩进:  2 字符"/>
    <w:basedOn w:val="1"/>
    <w:qFormat/>
    <w:uiPriority w:val="0"/>
    <w:pPr>
      <w:widowControl w:val="0"/>
      <w:spacing w:beforeLines="0"/>
    </w:pPr>
    <w:rPr>
      <w:rFonts w:eastAsia="宋体" w:cs="宋体"/>
      <w:szCs w:val="20"/>
    </w:rPr>
  </w:style>
  <w:style w:type="paragraph" w:customStyle="1" w:styleId="66">
    <w:name w:val="表号"/>
    <w:basedOn w:val="1"/>
    <w:link w:val="68"/>
    <w:qFormat/>
    <w:uiPriority w:val="0"/>
    <w:pPr>
      <w:widowControl w:val="0"/>
      <w:overflowPunct w:val="0"/>
      <w:adjustRightInd/>
      <w:snapToGrid/>
      <w:spacing w:beforeLines="0" w:line="320" w:lineRule="exact"/>
      <w:ind w:firstLine="113" w:firstLineChars="0"/>
      <w:textAlignment w:val="baseline"/>
    </w:pPr>
    <w:rPr>
      <w:rFonts w:eastAsia="宋体"/>
      <w:sz w:val="18"/>
      <w:szCs w:val="20"/>
    </w:rPr>
  </w:style>
  <w:style w:type="paragraph" w:customStyle="1" w:styleId="67">
    <w:name w:val="表名"/>
    <w:basedOn w:val="1"/>
    <w:link w:val="69"/>
    <w:qFormat/>
    <w:uiPriority w:val="0"/>
    <w:pPr>
      <w:widowControl w:val="0"/>
      <w:autoSpaceDE w:val="0"/>
      <w:autoSpaceDN w:val="0"/>
      <w:snapToGrid/>
      <w:spacing w:beforeLines="0" w:line="360" w:lineRule="exact"/>
      <w:ind w:firstLine="0" w:firstLineChars="0"/>
      <w:jc w:val="center"/>
      <w:textAlignment w:val="baseline"/>
    </w:pPr>
    <w:rPr>
      <w:rFonts w:eastAsia="黑体"/>
      <w:kern w:val="0"/>
      <w:sz w:val="21"/>
      <w:szCs w:val="21"/>
    </w:rPr>
  </w:style>
  <w:style w:type="character" w:customStyle="1" w:styleId="68">
    <w:name w:val="表号 Char3"/>
    <w:basedOn w:val="34"/>
    <w:link w:val="66"/>
    <w:qFormat/>
    <w:uiPriority w:val="0"/>
    <w:rPr>
      <w:rFonts w:ascii="Times New Roman" w:hAnsi="Times New Roman" w:eastAsia="宋体" w:cs="Times New Roman"/>
      <w:kern w:val="2"/>
      <w:sz w:val="18"/>
      <w:szCs w:val="20"/>
    </w:rPr>
  </w:style>
  <w:style w:type="character" w:customStyle="1" w:styleId="69">
    <w:name w:val="表名 Char3"/>
    <w:basedOn w:val="34"/>
    <w:link w:val="67"/>
    <w:qFormat/>
    <w:uiPriority w:val="0"/>
    <w:rPr>
      <w:rFonts w:ascii="Times New Roman" w:hAnsi="Times New Roman" w:eastAsia="黑体" w:cs="Times New Roman"/>
      <w:sz w:val="21"/>
      <w:szCs w:val="21"/>
    </w:rPr>
  </w:style>
  <w:style w:type="paragraph" w:customStyle="1" w:styleId="70">
    <w:name w:val="列出段落1"/>
    <w:basedOn w:val="1"/>
    <w:qFormat/>
    <w:uiPriority w:val="34"/>
    <w:pPr>
      <w:ind w:firstLine="420"/>
    </w:pPr>
  </w:style>
  <w:style w:type="paragraph" w:customStyle="1" w:styleId="71">
    <w:name w:val="Char2 Char Char Char Char Char Char1 Char Char Char Char Char Char"/>
    <w:basedOn w:val="1"/>
    <w:qFormat/>
    <w:uiPriority w:val="0"/>
    <w:pPr>
      <w:widowControl w:val="0"/>
      <w:adjustRightInd/>
      <w:snapToGrid/>
      <w:spacing w:beforeLines="0"/>
    </w:pPr>
    <w:rPr>
      <w:rFonts w:ascii="宋体" w:hAnsi="宋体" w:eastAsia="宋体" w:cs="宋体"/>
    </w:rPr>
  </w:style>
  <w:style w:type="paragraph" w:customStyle="1" w:styleId="72">
    <w:name w:val="表格标题"/>
    <w:basedOn w:val="1"/>
    <w:next w:val="1"/>
    <w:qFormat/>
    <w:uiPriority w:val="0"/>
    <w:pPr>
      <w:widowControl w:val="0"/>
      <w:adjustRightInd/>
      <w:snapToGrid/>
      <w:jc w:val="center"/>
    </w:pPr>
    <w:rPr>
      <w:rFonts w:eastAsia="宋体" w:cs="宋体"/>
      <w:b/>
      <w:szCs w:val="30"/>
    </w:rPr>
  </w:style>
  <w:style w:type="character" w:customStyle="1" w:styleId="73">
    <w:name w:val="批注框文本 Char"/>
    <w:basedOn w:val="34"/>
    <w:link w:val="22"/>
    <w:semiHidden/>
    <w:qFormat/>
    <w:uiPriority w:val="99"/>
    <w:rPr>
      <w:rFonts w:ascii="Times New Roman" w:hAnsi="Times New Roman" w:eastAsia="仿宋_GB2312" w:cs="Times New Roman"/>
      <w:kern w:val="2"/>
      <w:sz w:val="18"/>
      <w:szCs w:val="18"/>
    </w:rPr>
  </w:style>
  <w:style w:type="paragraph" w:customStyle="1" w:styleId="74">
    <w:name w:val="样式 (符号) 宋体 小三 行距: 1.5 倍行距"/>
    <w:basedOn w:val="1"/>
    <w:qFormat/>
    <w:uiPriority w:val="0"/>
    <w:pPr>
      <w:widowControl w:val="0"/>
      <w:adjustRightInd/>
      <w:snapToGrid/>
      <w:spacing w:beforeLines="0"/>
      <w:ind w:firstLine="560"/>
    </w:pPr>
    <w:rPr>
      <w:rFonts w:hAnsi="宋体" w:eastAsia="宋体"/>
      <w:szCs w:val="28"/>
    </w:rPr>
  </w:style>
  <w:style w:type="character" w:customStyle="1" w:styleId="75">
    <w:name w:val="批注文字 Char"/>
    <w:basedOn w:val="34"/>
    <w:link w:val="15"/>
    <w:semiHidden/>
    <w:qFormat/>
    <w:uiPriority w:val="99"/>
    <w:rPr>
      <w:rFonts w:ascii="Times New Roman" w:hAnsi="Times New Roman" w:eastAsia="仿宋_GB2312" w:cs="Times New Roman"/>
      <w:kern w:val="2"/>
      <w:sz w:val="24"/>
      <w:szCs w:val="24"/>
    </w:rPr>
  </w:style>
  <w:style w:type="character" w:customStyle="1" w:styleId="76">
    <w:name w:val="批注主题 Char"/>
    <w:basedOn w:val="75"/>
    <w:link w:val="31"/>
    <w:semiHidden/>
    <w:qFormat/>
    <w:uiPriority w:val="99"/>
    <w:rPr>
      <w:rFonts w:ascii="Times New Roman" w:hAnsi="Times New Roman" w:eastAsia="仿宋_GB2312" w:cs="Times New Roman"/>
      <w:b/>
      <w:bCs/>
      <w:kern w:val="2"/>
      <w:sz w:val="24"/>
      <w:szCs w:val="24"/>
    </w:rPr>
  </w:style>
  <w:style w:type="character" w:customStyle="1" w:styleId="77">
    <w:name w:val="font11"/>
    <w:basedOn w:val="34"/>
    <w:qFormat/>
    <w:uiPriority w:val="0"/>
    <w:rPr>
      <w:rFonts w:hint="eastAsia" w:ascii="宋体" w:hAnsi="宋体" w:eastAsia="宋体"/>
      <w:color w:val="000000"/>
      <w:sz w:val="18"/>
      <w:szCs w:val="18"/>
      <w:u w:val="none"/>
    </w:rPr>
  </w:style>
  <w:style w:type="character" w:customStyle="1" w:styleId="78">
    <w:name w:val="font61"/>
    <w:basedOn w:val="34"/>
    <w:qFormat/>
    <w:uiPriority w:val="0"/>
    <w:rPr>
      <w:rFonts w:hint="default" w:ascii="Times New Roman" w:hAnsi="Times New Roman" w:cs="Times New Roman"/>
      <w:color w:val="000000"/>
      <w:sz w:val="18"/>
      <w:szCs w:val="18"/>
      <w:u w:val="none"/>
      <w:vertAlign w:val="superscript"/>
    </w:rPr>
  </w:style>
  <w:style w:type="paragraph" w:customStyle="1" w:styleId="79">
    <w:name w:val="表格文字内容"/>
    <w:basedOn w:val="1"/>
    <w:qFormat/>
    <w:uiPriority w:val="0"/>
    <w:pPr>
      <w:spacing w:line="240" w:lineRule="exact"/>
      <w:jc w:val="center"/>
    </w:pPr>
    <w:rPr>
      <w:rFonts w:cs="宋体"/>
      <w:sz w:val="18"/>
      <w:szCs w:val="20"/>
    </w:rPr>
  </w:style>
  <w:style w:type="table" w:customStyle="1" w:styleId="80">
    <w:name w:val="报告表格样式"/>
    <w:basedOn w:val="32"/>
    <w:qFormat/>
    <w:uiPriority w:val="0"/>
    <w:pPr>
      <w:jc w:val="center"/>
    </w:pPr>
    <w:rPr>
      <w:sz w:val="18"/>
    </w:rPr>
    <w:tblPr>
      <w:tblBorders>
        <w:top w:val="single" w:color="auto" w:sz="12" w:space="0"/>
        <w:bottom w:val="single" w:color="auto" w:sz="12" w:space="0"/>
        <w:insideH w:val="single" w:color="auto" w:sz="4" w:space="0"/>
        <w:insideV w:val="single" w:color="auto" w:sz="4" w:space="0"/>
      </w:tblBorders>
      <w:tblCellMar>
        <w:top w:w="0" w:type="dxa"/>
        <w:left w:w="108" w:type="dxa"/>
        <w:bottom w:w="0" w:type="dxa"/>
        <w:right w:w="108" w:type="dxa"/>
      </w:tblCellMar>
    </w:tblPr>
    <w:tcPr>
      <w:vAlign w:val="center"/>
    </w:tcPr>
    <w:tblStylePr w:type="nwCell">
      <w:tcPr>
        <w:tcBorders>
          <w:tl2br w:val="nil"/>
        </w:tcBorders>
      </w:tcPr>
    </w:tblStyle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8" Type="http://schemas.openxmlformats.org/officeDocument/2006/relationships/fontTable" Target="fontTable.xml"/><Relationship Id="rId47" Type="http://schemas.microsoft.com/office/2006/relationships/keyMapCustomizations" Target="customizations.xml"/><Relationship Id="rId46" Type="http://schemas.openxmlformats.org/officeDocument/2006/relationships/customXml" Target="../customXml/item2.xml"/><Relationship Id="rId45" Type="http://schemas.openxmlformats.org/officeDocument/2006/relationships/numbering" Target="numbering.xml"/><Relationship Id="rId44" Type="http://schemas.openxmlformats.org/officeDocument/2006/relationships/customXml" Target="../customXml/item1.xml"/><Relationship Id="rId43" Type="http://schemas.openxmlformats.org/officeDocument/2006/relationships/image" Target="media/image9.png"/><Relationship Id="rId42" Type="http://schemas.openxmlformats.org/officeDocument/2006/relationships/image" Target="media/image8.png"/><Relationship Id="rId41" Type="http://schemas.openxmlformats.org/officeDocument/2006/relationships/image" Target="media/image7.png"/><Relationship Id="rId40" Type="http://schemas.openxmlformats.org/officeDocument/2006/relationships/image" Target="media/image6.png"/><Relationship Id="rId4" Type="http://schemas.openxmlformats.org/officeDocument/2006/relationships/header" Target="header2.xml"/><Relationship Id="rId39" Type="http://schemas.openxmlformats.org/officeDocument/2006/relationships/image" Target="media/image5.png"/><Relationship Id="rId38" Type="http://schemas.openxmlformats.org/officeDocument/2006/relationships/image" Target="media/image4.png"/><Relationship Id="rId37" Type="http://schemas.openxmlformats.org/officeDocument/2006/relationships/image" Target="media/image3.png"/><Relationship Id="rId36" Type="http://schemas.openxmlformats.org/officeDocument/2006/relationships/image" Target="media/image2.jpeg"/><Relationship Id="rId35" Type="http://schemas.openxmlformats.org/officeDocument/2006/relationships/image" Target="media/image1.jpeg"/><Relationship Id="rId34" Type="http://schemas.openxmlformats.org/officeDocument/2006/relationships/theme" Target="theme/theme1.xml"/><Relationship Id="rId33" Type="http://schemas.openxmlformats.org/officeDocument/2006/relationships/header" Target="header19.xml"/><Relationship Id="rId32" Type="http://schemas.openxmlformats.org/officeDocument/2006/relationships/header" Target="header18.xml"/><Relationship Id="rId31" Type="http://schemas.openxmlformats.org/officeDocument/2006/relationships/header" Target="header17.xml"/><Relationship Id="rId30" Type="http://schemas.openxmlformats.org/officeDocument/2006/relationships/header" Target="header16.xml"/><Relationship Id="rId3" Type="http://schemas.openxmlformats.org/officeDocument/2006/relationships/header" Target="header1.xml"/><Relationship Id="rId29" Type="http://schemas.openxmlformats.org/officeDocument/2006/relationships/header" Target="header15.xml"/><Relationship Id="rId28" Type="http://schemas.openxmlformats.org/officeDocument/2006/relationships/header" Target="header14.xml"/><Relationship Id="rId27" Type="http://schemas.openxmlformats.org/officeDocument/2006/relationships/header" Target="header13.xml"/><Relationship Id="rId26" Type="http://schemas.openxmlformats.org/officeDocument/2006/relationships/footer" Target="footer12.xml"/><Relationship Id="rId25" Type="http://schemas.openxmlformats.org/officeDocument/2006/relationships/header" Target="header12.xml"/><Relationship Id="rId24" Type="http://schemas.openxmlformats.org/officeDocument/2006/relationships/footer" Target="footer11.xml"/><Relationship Id="rId23" Type="http://schemas.openxmlformats.org/officeDocument/2006/relationships/header" Target="head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4198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4D1C3D-FBBE-476F-BDC7-D735A005B9FE}">
  <ds:schemaRefs/>
</ds:datastoreItem>
</file>

<file path=docProps/app.xml><?xml version="1.0" encoding="utf-8"?>
<Properties xmlns="http://schemas.openxmlformats.org/officeDocument/2006/extended-properties" xmlns:vt="http://schemas.openxmlformats.org/officeDocument/2006/docPropsVTypes">
  <Template>Normal</Template>
  <Pages>72</Pages>
  <Words>7959</Words>
  <Characters>45370</Characters>
  <Lines>378</Lines>
  <Paragraphs>106</Paragraphs>
  <TotalTime>2</TotalTime>
  <ScaleCrop>false</ScaleCrop>
  <LinksUpToDate>false</LinksUpToDate>
  <CharactersWithSpaces>53223</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2019-12-28T12:38:00Z</dcterms:created>
  <dc:creator>Administrator</dc:creator>
  <cp:lastModifiedBy>李斯特</cp:lastModifiedBy>
  <dcterms:modified xsi:type="dcterms:W3CDTF">2021-05-15T15:49:26Z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