
<file path=[Content_Types].xml><?xml version="1.0" encoding="utf-8"?>
<Types xmlns="http://schemas.openxmlformats.org/package/2006/content-types">
  <Default Extension="xml" ContentType="application/xml"/>
  <Default Extension="tiff" ContentType="image/tif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default" w:ascii="Times New Roman" w:hAnsi="Times New Roman" w:eastAsia="仿宋_GB2312" w:cs="Times New Roman"/>
          <w:sz w:val="32"/>
          <w:szCs w:val="32"/>
        </w:rPr>
      </w:pPr>
    </w:p>
    <w:p>
      <w:pPr>
        <w:jc w:val="right"/>
        <w:rPr>
          <w:rFonts w:hint="default" w:ascii="Times New Roman" w:hAnsi="Times New Roman" w:eastAsia="仿宋_GB2312" w:cs="Times New Roman"/>
        </w:rPr>
      </w:pPr>
    </w:p>
    <w:p>
      <w:pPr>
        <w:rPr>
          <w:rFonts w:hint="default" w:ascii="Times New Roman" w:hAnsi="Times New Roman" w:eastAsia="仿宋_GB2312" w:cs="Times New Roman"/>
        </w:rPr>
      </w:pPr>
    </w:p>
    <w:p>
      <w:pPr>
        <w:jc w:val="center"/>
        <w:rPr>
          <w:rFonts w:hint="eastAsia" w:ascii="黑体" w:hAnsi="黑体" w:eastAsia="黑体" w:cs="黑体"/>
          <w:sz w:val="52"/>
          <w:szCs w:val="52"/>
        </w:rPr>
      </w:pPr>
      <w:r>
        <w:rPr>
          <w:rFonts w:hint="eastAsia" w:ascii="黑体" w:hAnsi="黑体" w:eastAsia="黑体" w:cs="黑体"/>
          <w:sz w:val="52"/>
          <w:szCs w:val="52"/>
        </w:rPr>
        <w:t>生产建设项目水土保持设施</w:t>
      </w:r>
    </w:p>
    <w:p>
      <w:pPr>
        <w:jc w:val="center"/>
        <w:rPr>
          <w:rFonts w:hint="default" w:ascii="Times New Roman" w:hAnsi="Times New Roman" w:eastAsia="仿宋_GB2312" w:cs="Times New Roman"/>
          <w:sz w:val="84"/>
          <w:szCs w:val="84"/>
        </w:rPr>
      </w:pPr>
      <w:r>
        <w:rPr>
          <w:rFonts w:hint="eastAsia" w:ascii="楷体" w:hAnsi="楷体" w:eastAsia="楷体" w:cs="楷体"/>
          <w:sz w:val="84"/>
          <w:szCs w:val="84"/>
        </w:rPr>
        <w:t>验收鉴定书</w:t>
      </w:r>
    </w:p>
    <w:p>
      <w:pPr>
        <w:spacing w:beforeLines="50" w:afterLines="50" w:line="360" w:lineRule="auto"/>
        <w:jc w:val="center"/>
        <w:rPr>
          <w:rFonts w:hint="default" w:ascii="Times New Roman" w:hAnsi="Times New Roman" w:eastAsia="仿宋_GB2312" w:cs="Times New Roman"/>
          <w:sz w:val="28"/>
          <w:szCs w:val="28"/>
        </w:rPr>
      </w:pPr>
    </w:p>
    <w:p>
      <w:pPr>
        <w:spacing w:beforeLines="50" w:afterLines="50" w:line="360" w:lineRule="auto"/>
        <w:rPr>
          <w:rFonts w:hint="default" w:ascii="Times New Roman" w:hAnsi="Times New Roman" w:eastAsia="仿宋_GB2312" w:cs="Times New Roman"/>
          <w:sz w:val="28"/>
          <w:szCs w:val="28"/>
        </w:rPr>
      </w:pPr>
    </w:p>
    <w:p>
      <w:pPr>
        <w:pStyle w:val="2"/>
        <w:rPr>
          <w:rFonts w:hint="default"/>
        </w:rPr>
      </w:pPr>
    </w:p>
    <w:p>
      <w:pPr>
        <w:spacing w:beforeLines="50" w:afterLines="50" w:line="360" w:lineRule="auto"/>
        <w:rPr>
          <w:rFonts w:hint="default" w:ascii="Times New Roman" w:hAnsi="Times New Roman" w:eastAsia="仿宋_GB2312" w:cs="Times New Roman"/>
          <w:sz w:val="28"/>
          <w:szCs w:val="28"/>
        </w:rPr>
      </w:pPr>
    </w:p>
    <w:p>
      <w:pPr>
        <w:spacing w:beforeLines="50" w:afterLines="50" w:line="360" w:lineRule="auto"/>
        <w:rPr>
          <w:rFonts w:hint="default" w:ascii="Times New Roman" w:hAnsi="Times New Roman" w:eastAsia="仿宋_GB2312" w:cs="Times New Roman"/>
          <w:sz w:val="28"/>
          <w:szCs w:val="28"/>
        </w:rPr>
      </w:pPr>
    </w:p>
    <w:p>
      <w:pPr>
        <w:spacing w:line="600" w:lineRule="exact"/>
        <w:ind w:firstLine="700" w:firstLineChars="250"/>
        <w:rPr>
          <w:rFonts w:hint="eastAsia" w:ascii="黑体" w:hAnsi="黑体" w:eastAsia="黑体" w:cs="黑体"/>
          <w:sz w:val="28"/>
          <w:szCs w:val="28"/>
          <w:lang w:eastAsia="zh-CN"/>
        </w:rPr>
      </w:pPr>
      <w:r>
        <w:rPr>
          <w:rFonts w:hint="eastAsia" w:ascii="黑体" w:hAnsi="黑体" w:eastAsia="黑体" w:cs="黑体"/>
          <w:sz w:val="28"/>
          <w:szCs w:val="28"/>
        </w:rPr>
        <w:t>项目名称:</w:t>
      </w:r>
      <w:r>
        <w:rPr>
          <w:rFonts w:hint="eastAsia" w:ascii="黑体" w:hAnsi="黑体" w:eastAsia="黑体" w:cs="黑体"/>
          <w:sz w:val="28"/>
          <w:szCs w:val="28"/>
          <w:u w:val="single"/>
          <w:lang w:eastAsia="zh-CN"/>
        </w:rPr>
        <w:t xml:space="preserve">南充仪陇五福35kV配电化变电站新建工程 </w:t>
      </w:r>
    </w:p>
    <w:p>
      <w:pPr>
        <w:spacing w:line="360" w:lineRule="auto"/>
        <w:ind w:firstLine="700" w:firstLineChars="250"/>
        <w:rPr>
          <w:rFonts w:hint="default" w:ascii="黑体" w:hAnsi="黑体" w:eastAsia="黑体" w:cs="黑体"/>
          <w:sz w:val="28"/>
          <w:szCs w:val="28"/>
          <w:u w:val="single"/>
          <w:lang w:val="en-US" w:eastAsia="zh-CN"/>
        </w:rPr>
      </w:pPr>
      <w:r>
        <w:rPr>
          <w:rFonts w:hint="eastAsia" w:ascii="黑体" w:hAnsi="黑体" w:eastAsia="黑体" w:cs="黑体"/>
          <w:sz w:val="28"/>
          <w:szCs w:val="28"/>
        </w:rPr>
        <w:t>项目编号:</w:t>
      </w:r>
      <w:r>
        <w:rPr>
          <w:rFonts w:hint="eastAsia" w:ascii="黑体" w:hAnsi="黑体" w:eastAsia="黑体" w:cs="黑体"/>
          <w:sz w:val="28"/>
          <w:szCs w:val="28"/>
          <w:u w:val="single"/>
          <w:lang w:val="en-US" w:eastAsia="zh-CN"/>
        </w:rPr>
        <w:t>2020-511300-44-02-496073</w:t>
      </w:r>
    </w:p>
    <w:p>
      <w:pPr>
        <w:spacing w:line="360" w:lineRule="auto"/>
        <w:ind w:firstLine="700" w:firstLineChars="250"/>
        <w:rPr>
          <w:rFonts w:hint="eastAsia" w:ascii="黑体" w:hAnsi="黑体" w:eastAsia="黑体" w:cs="黑体"/>
          <w:sz w:val="28"/>
          <w:szCs w:val="28"/>
          <w:u w:val="single"/>
          <w:lang w:val="en-US" w:eastAsia="zh-CN"/>
        </w:rPr>
      </w:pPr>
      <w:r>
        <w:rPr>
          <w:rFonts w:hint="eastAsia" w:ascii="黑体" w:hAnsi="黑体" w:eastAsia="黑体" w:cs="黑体"/>
          <w:sz w:val="28"/>
          <w:szCs w:val="28"/>
        </w:rPr>
        <w:t>建设地点:</w:t>
      </w:r>
      <w:r>
        <w:rPr>
          <w:rFonts w:hint="eastAsia" w:ascii="黑体" w:hAnsi="黑体" w:eastAsia="黑体" w:cs="黑体"/>
          <w:sz w:val="28"/>
          <w:szCs w:val="28"/>
          <w:u w:val="single"/>
          <w:lang w:eastAsia="zh-CN"/>
        </w:rPr>
        <w:t>南充市仪陇县</w:t>
      </w:r>
    </w:p>
    <w:p>
      <w:pPr>
        <w:spacing w:line="360" w:lineRule="auto"/>
        <w:ind w:firstLine="700" w:firstLineChars="250"/>
        <w:rPr>
          <w:rFonts w:hint="eastAsia" w:ascii="黑体" w:hAnsi="黑体" w:eastAsia="黑体" w:cs="黑体"/>
          <w:sz w:val="28"/>
          <w:szCs w:val="28"/>
          <w:u w:val="single"/>
          <w:lang w:eastAsia="zh-CN"/>
        </w:rPr>
      </w:pPr>
      <w:r>
        <w:rPr>
          <w:rFonts w:hint="eastAsia" w:ascii="黑体" w:hAnsi="黑体" w:eastAsia="黑体" w:cs="黑体"/>
          <w:sz w:val="28"/>
          <w:szCs w:val="28"/>
        </w:rPr>
        <w:t>验收单位:</w:t>
      </w:r>
      <w:r>
        <w:rPr>
          <w:rFonts w:hint="eastAsia" w:ascii="黑体" w:hAnsi="黑体" w:eastAsia="黑体" w:cs="黑体"/>
          <w:sz w:val="28"/>
          <w:szCs w:val="28"/>
          <w:u w:val="single"/>
          <w:lang w:eastAsia="zh-CN"/>
        </w:rPr>
        <w:t>国网四川省电力公司南充供电公司</w:t>
      </w:r>
    </w:p>
    <w:p>
      <w:pPr>
        <w:rPr>
          <w:rFonts w:hint="eastAsia" w:ascii="黑体" w:hAnsi="黑体" w:eastAsia="黑体" w:cs="黑体"/>
          <w:sz w:val="28"/>
          <w:szCs w:val="28"/>
        </w:rPr>
      </w:pPr>
    </w:p>
    <w:p>
      <w:pPr>
        <w:rPr>
          <w:rFonts w:hint="eastAsia" w:ascii="黑体" w:hAnsi="黑体" w:eastAsia="黑体" w:cs="黑体"/>
          <w:sz w:val="28"/>
          <w:szCs w:val="28"/>
        </w:rPr>
      </w:pPr>
      <w:r>
        <w:rPr>
          <w:rFonts w:hint="eastAsia" w:ascii="黑体" w:hAnsi="黑体" w:eastAsia="黑体" w:cs="黑体"/>
          <w:sz w:val="28"/>
          <w:szCs w:val="28"/>
        </w:rPr>
        <w:br w:type="textWrapping"/>
      </w:r>
    </w:p>
    <w:p>
      <w:pPr>
        <w:rPr>
          <w:rFonts w:hint="eastAsia" w:ascii="黑体" w:hAnsi="黑体" w:eastAsia="黑体" w:cs="黑体"/>
          <w:sz w:val="28"/>
          <w:szCs w:val="28"/>
        </w:rPr>
      </w:pPr>
    </w:p>
    <w:p>
      <w:pPr>
        <w:spacing w:beforeLines="50" w:afterLines="50"/>
        <w:jc w:val="center"/>
        <w:rPr>
          <w:rFonts w:hint="default" w:ascii="Times New Roman" w:hAnsi="Times New Roman" w:eastAsia="仿宋_GB2312" w:cs="Times New Roman"/>
          <w:sz w:val="30"/>
          <w:szCs w:val="30"/>
        </w:rPr>
      </w:pPr>
      <w:r>
        <w:rPr>
          <w:rFonts w:hint="eastAsia" w:ascii="黑体" w:hAnsi="黑体" w:eastAsia="黑体" w:cs="黑体"/>
          <w:sz w:val="28"/>
          <w:szCs w:val="28"/>
          <w:lang w:val="en-US" w:eastAsia="zh-CN"/>
        </w:rPr>
        <w:t xml:space="preserve">                 </w:t>
      </w:r>
      <w:r>
        <w:rPr>
          <w:rFonts w:hint="eastAsia" w:ascii="黑体" w:hAnsi="黑体" w:eastAsia="黑体" w:cs="黑体"/>
          <w:sz w:val="28"/>
          <w:szCs w:val="28"/>
        </w:rPr>
        <w:t>20</w:t>
      </w:r>
      <w:r>
        <w:rPr>
          <w:rFonts w:hint="eastAsia" w:ascii="黑体" w:hAnsi="黑体" w:eastAsia="黑体" w:cs="黑体"/>
          <w:sz w:val="28"/>
          <w:szCs w:val="28"/>
          <w:lang w:val="en-US" w:eastAsia="zh-CN"/>
        </w:rPr>
        <w:t>21</w:t>
      </w:r>
      <w:r>
        <w:rPr>
          <w:rFonts w:hint="eastAsia" w:ascii="黑体" w:hAnsi="黑体" w:eastAsia="黑体" w:cs="黑体"/>
          <w:sz w:val="28"/>
          <w:szCs w:val="28"/>
        </w:rPr>
        <w:t>年</w:t>
      </w:r>
      <w:r>
        <w:rPr>
          <w:rFonts w:hint="eastAsia" w:ascii="黑体" w:hAnsi="黑体" w:eastAsia="黑体" w:cs="黑体"/>
          <w:sz w:val="28"/>
          <w:szCs w:val="28"/>
          <w:lang w:val="en-US" w:eastAsia="zh-CN"/>
        </w:rPr>
        <w:t>3</w:t>
      </w:r>
      <w:r>
        <w:rPr>
          <w:rFonts w:hint="eastAsia" w:ascii="黑体" w:hAnsi="黑体" w:eastAsia="黑体" w:cs="黑体"/>
          <w:sz w:val="28"/>
          <w:szCs w:val="28"/>
        </w:rPr>
        <w:t>月</w:t>
      </w:r>
      <w:r>
        <w:rPr>
          <w:rFonts w:hint="eastAsia" w:ascii="黑体" w:hAnsi="黑体" w:eastAsia="黑体" w:cs="黑体"/>
          <w:sz w:val="28"/>
          <w:szCs w:val="28"/>
          <w:lang w:val="en-US" w:eastAsia="zh-CN"/>
        </w:rPr>
        <w:t>19</w:t>
      </w:r>
      <w:r>
        <w:rPr>
          <w:rFonts w:hint="eastAsia" w:ascii="黑体" w:hAnsi="黑体" w:eastAsia="黑体" w:cs="黑体"/>
          <w:sz w:val="28"/>
          <w:szCs w:val="28"/>
        </w:rPr>
        <w:t>日</w:t>
      </w:r>
      <w:r>
        <w:rPr>
          <w:rFonts w:hint="default" w:ascii="Times New Roman" w:hAnsi="Times New Roman" w:eastAsia="仿宋_GB2312" w:cs="Times New Roman"/>
          <w:b/>
          <w:sz w:val="30"/>
          <w:szCs w:val="30"/>
        </w:rPr>
        <w:br w:type="column"/>
      </w:r>
      <w:r>
        <w:rPr>
          <w:rFonts w:hint="default" w:ascii="Times New Roman" w:hAnsi="Times New Roman" w:eastAsia="仿宋_GB2312" w:cs="Times New Roman"/>
          <w:b/>
          <w:bCs/>
          <w:sz w:val="30"/>
          <w:szCs w:val="30"/>
        </w:rPr>
        <w:t>一、生产建设项目水土保持设施验收基本情况表</w:t>
      </w:r>
    </w:p>
    <w:tbl>
      <w:tblPr>
        <w:tblStyle w:val="12"/>
        <w:tblW w:w="883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84"/>
        <w:gridCol w:w="2775"/>
        <w:gridCol w:w="1264"/>
        <w:gridCol w:w="15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3" w:hRule="exact"/>
          <w:jc w:val="center"/>
        </w:trPr>
        <w:tc>
          <w:tcPr>
            <w:tcW w:w="3284"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120" w:leftChars="57"/>
              <w:jc w:val="center"/>
              <w:textAlignment w:val="auto"/>
              <w:rPr>
                <w:rFonts w:hint="eastAsia" w:ascii="宋体" w:hAnsi="宋体" w:eastAsia="宋体" w:cs="宋体"/>
                <w:sz w:val="24"/>
                <w:szCs w:val="24"/>
              </w:rPr>
            </w:pPr>
            <w:r>
              <w:rPr>
                <w:rFonts w:hint="eastAsia" w:ascii="宋体" w:hAnsi="宋体" w:eastAsia="宋体" w:cs="宋体"/>
                <w:sz w:val="24"/>
                <w:szCs w:val="24"/>
              </w:rPr>
              <w:t>项目名称</w:t>
            </w:r>
          </w:p>
        </w:tc>
        <w:tc>
          <w:tcPr>
            <w:tcW w:w="2775"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120" w:leftChars="57"/>
              <w:jc w:val="center"/>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 xml:space="preserve">南充仪陇五福35kV配电化变电站新建工程 </w:t>
            </w:r>
          </w:p>
        </w:tc>
        <w:tc>
          <w:tcPr>
            <w:tcW w:w="1264"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行业类别</w:t>
            </w:r>
          </w:p>
        </w:tc>
        <w:tc>
          <w:tcPr>
            <w:tcW w:w="1508"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4"/>
                <w:szCs w:val="24"/>
              </w:rPr>
            </w:pPr>
            <w:r>
              <w:rPr>
                <w:rFonts w:hint="eastAsia" w:ascii="宋体" w:hAnsi="宋体" w:eastAsia="宋体" w:cs="宋体"/>
                <w:color w:val="000000" w:themeColor="text1"/>
                <w:kern w:val="0"/>
                <w:sz w:val="24"/>
                <w:szCs w:val="24"/>
                <w:lang w:eastAsia="zh-CN"/>
                <w14:textFill>
                  <w14:solidFill>
                    <w14:schemeClr w14:val="tx1"/>
                  </w14:solidFill>
                </w14:textFill>
              </w:rPr>
              <w:t>输变电工程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8" w:hRule="exact"/>
          <w:jc w:val="center"/>
        </w:trPr>
        <w:tc>
          <w:tcPr>
            <w:tcW w:w="3284"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120" w:leftChars="57"/>
              <w:jc w:val="center"/>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建设单位</w:t>
            </w:r>
          </w:p>
        </w:tc>
        <w:tc>
          <w:tcPr>
            <w:tcW w:w="2775"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120" w:leftChars="57"/>
              <w:jc w:val="center"/>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国网四川省电力公司南充供电公司</w:t>
            </w:r>
          </w:p>
        </w:tc>
        <w:tc>
          <w:tcPr>
            <w:tcW w:w="1264"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项目性质</w:t>
            </w:r>
          </w:p>
        </w:tc>
        <w:tc>
          <w:tcPr>
            <w:tcW w:w="1508"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新建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86" w:hRule="exact"/>
          <w:jc w:val="center"/>
        </w:trPr>
        <w:tc>
          <w:tcPr>
            <w:tcW w:w="3284"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120" w:leftChars="57"/>
              <w:jc w:val="center"/>
              <w:textAlignment w:val="auto"/>
              <w:rPr>
                <w:rFonts w:hint="eastAsia" w:ascii="宋体" w:hAnsi="宋体" w:eastAsia="宋体" w:cs="宋体"/>
                <w:sz w:val="24"/>
                <w:szCs w:val="24"/>
              </w:rPr>
            </w:pPr>
            <w:r>
              <w:rPr>
                <w:rFonts w:hint="eastAsia" w:ascii="宋体" w:hAnsi="宋体" w:eastAsia="宋体" w:cs="宋体"/>
                <w:sz w:val="24"/>
                <w:szCs w:val="24"/>
              </w:rPr>
              <w:t>水土保持方案批复机关、文号及时间</w:t>
            </w:r>
          </w:p>
        </w:tc>
        <w:tc>
          <w:tcPr>
            <w:tcW w:w="5547" w:type="dxa"/>
            <w:gridSpan w:val="3"/>
            <w:vAlign w:val="center"/>
          </w:tcPr>
          <w:p>
            <w:pPr>
              <w:keepNext w:val="0"/>
              <w:keepLines w:val="0"/>
              <w:pageBreakBefore w:val="0"/>
              <w:widowControl w:val="0"/>
              <w:kinsoku/>
              <w:wordWrap/>
              <w:overflowPunct/>
              <w:topLinePunct w:val="0"/>
              <w:autoSpaceDE/>
              <w:autoSpaceDN/>
              <w:bidi w:val="0"/>
              <w:adjustRightInd/>
              <w:snapToGrid/>
              <w:spacing w:line="240" w:lineRule="auto"/>
              <w:ind w:left="120" w:leftChars="57"/>
              <w:jc w:val="left"/>
              <w:textAlignment w:val="auto"/>
              <w:rPr>
                <w:rFonts w:hint="eastAsia" w:ascii="宋体" w:hAnsi="宋体" w:eastAsia="宋体" w:cs="宋体"/>
                <w:sz w:val="24"/>
                <w:szCs w:val="24"/>
              </w:rPr>
            </w:pPr>
            <w:r>
              <w:rPr>
                <w:rFonts w:hint="eastAsia" w:ascii="宋体" w:hAnsi="宋体" w:eastAsia="宋体" w:cs="宋体"/>
                <w:color w:val="000000" w:themeColor="text1"/>
                <w:kern w:val="0"/>
                <w:sz w:val="24"/>
                <w:szCs w:val="24"/>
                <w14:textFill>
                  <w14:solidFill>
                    <w14:schemeClr w14:val="tx1"/>
                  </w14:solidFill>
                </w14:textFill>
              </w:rPr>
              <w:t>批复机关：</w:t>
            </w:r>
            <w:r>
              <w:rPr>
                <w:rFonts w:hint="eastAsia" w:ascii="宋体" w:hAnsi="宋体" w:eastAsia="宋体" w:cs="宋体"/>
                <w:color w:val="000000" w:themeColor="text1"/>
                <w:kern w:val="0"/>
                <w:sz w:val="24"/>
                <w:szCs w:val="24"/>
                <w:lang w:val="en-US" w:eastAsia="zh-CN"/>
                <w14:textFill>
                  <w14:solidFill>
                    <w14:schemeClr w14:val="tx1"/>
                  </w14:solidFill>
                </w14:textFill>
              </w:rPr>
              <w:t>仪陇县行政审批局</w:t>
            </w:r>
            <w:r>
              <w:rPr>
                <w:rFonts w:hint="eastAsia" w:ascii="宋体" w:hAnsi="宋体" w:eastAsia="宋体" w:cs="宋体"/>
                <w:color w:val="000000" w:themeColor="text1"/>
                <w:kern w:val="0"/>
                <w:sz w:val="24"/>
                <w:szCs w:val="24"/>
                <w14:textFill>
                  <w14:solidFill>
                    <w14:schemeClr w14:val="tx1"/>
                  </w14:solidFill>
                </w14:textFill>
              </w:rPr>
              <w:t>；批准文号：</w:t>
            </w:r>
            <w:r>
              <w:rPr>
                <w:rFonts w:hint="eastAsia" w:ascii="宋体" w:hAnsi="宋体" w:eastAsia="宋体" w:cs="宋体"/>
                <w:color w:val="000000" w:themeColor="text1"/>
                <w:kern w:val="0"/>
                <w:sz w:val="24"/>
                <w:szCs w:val="24"/>
                <w:lang w:val="en-US" w:eastAsia="zh-CN"/>
                <w14:textFill>
                  <w14:solidFill>
                    <w14:schemeClr w14:val="tx1"/>
                  </w14:solidFill>
                </w14:textFill>
              </w:rPr>
              <w:t>仪陇水保承诺【2020】014号</w:t>
            </w:r>
            <w:r>
              <w:rPr>
                <w:rFonts w:hint="eastAsia" w:ascii="宋体" w:hAnsi="宋体" w:eastAsia="宋体" w:cs="宋体"/>
                <w:color w:val="000000" w:themeColor="text1"/>
                <w:kern w:val="0"/>
                <w:sz w:val="24"/>
                <w:szCs w:val="24"/>
                <w14:textFill>
                  <w14:solidFill>
                    <w14:schemeClr w14:val="tx1"/>
                  </w14:solidFill>
                </w14:textFill>
              </w:rPr>
              <w:t>；批复时间：20</w:t>
            </w:r>
            <w:r>
              <w:rPr>
                <w:rFonts w:hint="eastAsia" w:ascii="宋体" w:hAnsi="宋体" w:eastAsia="宋体" w:cs="宋体"/>
                <w:color w:val="000000" w:themeColor="text1"/>
                <w:kern w:val="0"/>
                <w:sz w:val="24"/>
                <w:szCs w:val="24"/>
                <w:lang w:val="en-US" w:eastAsia="zh-CN"/>
                <w14:textFill>
                  <w14:solidFill>
                    <w14:schemeClr w14:val="tx1"/>
                  </w14:solidFill>
                </w14:textFill>
              </w:rPr>
              <w:t>20</w:t>
            </w:r>
            <w:r>
              <w:rPr>
                <w:rFonts w:hint="eastAsia" w:ascii="宋体" w:hAnsi="宋体" w:eastAsia="宋体" w:cs="宋体"/>
                <w:color w:val="000000" w:themeColor="text1"/>
                <w:kern w:val="0"/>
                <w:sz w:val="24"/>
                <w:szCs w:val="24"/>
                <w14:textFill>
                  <w14:solidFill>
                    <w14:schemeClr w14:val="tx1"/>
                  </w14:solidFill>
                </w14:textFill>
              </w:rPr>
              <w:t>年</w:t>
            </w:r>
            <w:r>
              <w:rPr>
                <w:rFonts w:hint="eastAsia" w:ascii="宋体" w:hAnsi="宋体" w:eastAsia="宋体" w:cs="宋体"/>
                <w:color w:val="000000" w:themeColor="text1"/>
                <w:kern w:val="0"/>
                <w:sz w:val="24"/>
                <w:szCs w:val="24"/>
                <w:lang w:val="en-US" w:eastAsia="zh-CN"/>
                <w14:textFill>
                  <w14:solidFill>
                    <w14:schemeClr w14:val="tx1"/>
                  </w14:solidFill>
                </w14:textFill>
              </w:rPr>
              <w:t>12</w:t>
            </w:r>
            <w:r>
              <w:rPr>
                <w:rFonts w:hint="eastAsia" w:ascii="宋体" w:hAnsi="宋体" w:eastAsia="宋体" w:cs="宋体"/>
                <w:color w:val="000000" w:themeColor="text1"/>
                <w:kern w:val="0"/>
                <w:sz w:val="24"/>
                <w:szCs w:val="24"/>
                <w14:textFill>
                  <w14:solidFill>
                    <w14:schemeClr w14:val="tx1"/>
                  </w14:solidFill>
                </w14:textFill>
              </w:rPr>
              <w:t>月</w:t>
            </w:r>
            <w:r>
              <w:rPr>
                <w:rFonts w:hint="eastAsia" w:ascii="宋体" w:hAnsi="宋体" w:eastAsia="宋体" w:cs="宋体"/>
                <w:color w:val="000000" w:themeColor="text1"/>
                <w:kern w:val="0"/>
                <w:sz w:val="24"/>
                <w:szCs w:val="24"/>
                <w:lang w:val="en-US" w:eastAsia="zh-CN"/>
                <w14:textFill>
                  <w14:solidFill>
                    <w14:schemeClr w14:val="tx1"/>
                  </w14:solidFill>
                </w14:textFill>
              </w:rPr>
              <w:t>15</w:t>
            </w:r>
            <w:r>
              <w:rPr>
                <w:rFonts w:hint="eastAsia" w:ascii="宋体" w:hAnsi="宋体" w:eastAsia="宋体" w:cs="宋体"/>
                <w:color w:val="000000" w:themeColor="text1"/>
                <w:kern w:val="0"/>
                <w:sz w:val="24"/>
                <w:szCs w:val="24"/>
                <w14:textFill>
                  <w14:solidFill>
                    <w14:schemeClr w14:val="tx1"/>
                  </w14:solidFill>
                </w14:textFill>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815" w:hRule="exact"/>
          <w:jc w:val="center"/>
        </w:trPr>
        <w:tc>
          <w:tcPr>
            <w:tcW w:w="3284"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120" w:leftChars="57"/>
              <w:jc w:val="center"/>
              <w:textAlignment w:val="auto"/>
              <w:rPr>
                <w:rFonts w:hint="eastAsia" w:ascii="宋体" w:hAnsi="宋体" w:eastAsia="宋体" w:cs="宋体"/>
                <w:sz w:val="24"/>
                <w:szCs w:val="24"/>
              </w:rPr>
            </w:pPr>
            <w:r>
              <w:rPr>
                <w:rFonts w:hint="eastAsia" w:ascii="宋体" w:hAnsi="宋体" w:eastAsia="宋体" w:cs="宋体"/>
                <w:sz w:val="24"/>
                <w:szCs w:val="24"/>
              </w:rPr>
              <w:t>水土保持方案变更批复机关、文号及时间</w:t>
            </w:r>
          </w:p>
        </w:tc>
        <w:tc>
          <w:tcPr>
            <w:tcW w:w="5547" w:type="dxa"/>
            <w:gridSpan w:val="3"/>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0" w:hRule="exact"/>
          <w:jc w:val="center"/>
        </w:trPr>
        <w:tc>
          <w:tcPr>
            <w:tcW w:w="3284"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120" w:leftChars="57"/>
              <w:jc w:val="center"/>
              <w:textAlignment w:val="auto"/>
              <w:rPr>
                <w:rFonts w:hint="eastAsia" w:ascii="宋体" w:hAnsi="宋体" w:eastAsia="宋体" w:cs="宋体"/>
                <w:sz w:val="24"/>
                <w:szCs w:val="24"/>
              </w:rPr>
            </w:pPr>
            <w:r>
              <w:rPr>
                <w:rFonts w:hint="eastAsia" w:ascii="宋体" w:hAnsi="宋体" w:eastAsia="宋体" w:cs="宋体"/>
                <w:sz w:val="24"/>
                <w:szCs w:val="24"/>
              </w:rPr>
              <w:t>水土保持初步设计批复机关、文号及时间</w:t>
            </w:r>
          </w:p>
        </w:tc>
        <w:tc>
          <w:tcPr>
            <w:tcW w:w="5547" w:type="dxa"/>
            <w:gridSpan w:val="3"/>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0" w:hRule="exact"/>
          <w:jc w:val="center"/>
        </w:trPr>
        <w:tc>
          <w:tcPr>
            <w:tcW w:w="3284"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120" w:leftChars="57"/>
              <w:jc w:val="center"/>
              <w:textAlignment w:val="auto"/>
              <w:rPr>
                <w:rFonts w:hint="eastAsia" w:ascii="宋体" w:hAnsi="宋体" w:eastAsia="宋体" w:cs="宋体"/>
                <w:sz w:val="24"/>
                <w:szCs w:val="24"/>
              </w:rPr>
            </w:pPr>
            <w:r>
              <w:rPr>
                <w:rFonts w:hint="eastAsia" w:ascii="宋体" w:hAnsi="宋体" w:eastAsia="宋体" w:cs="宋体"/>
                <w:sz w:val="24"/>
                <w:szCs w:val="24"/>
              </w:rPr>
              <w:t>项目建设起止时间</w:t>
            </w:r>
          </w:p>
        </w:tc>
        <w:tc>
          <w:tcPr>
            <w:tcW w:w="5547" w:type="dxa"/>
            <w:gridSpan w:val="3"/>
            <w:vAlign w:val="center"/>
          </w:tcPr>
          <w:p>
            <w:pPr>
              <w:keepNext w:val="0"/>
              <w:keepLines w:val="0"/>
              <w:pageBreakBefore w:val="0"/>
              <w:widowControl w:val="0"/>
              <w:kinsoku/>
              <w:wordWrap/>
              <w:overflowPunct/>
              <w:topLinePunct w:val="0"/>
              <w:autoSpaceDE/>
              <w:autoSpaceDN/>
              <w:bidi w:val="0"/>
              <w:adjustRightInd/>
              <w:snapToGrid/>
              <w:spacing w:line="240" w:lineRule="auto"/>
              <w:ind w:left="120" w:leftChars="57" w:right="120"/>
              <w:jc w:val="center"/>
              <w:textAlignment w:val="auto"/>
              <w:rPr>
                <w:rFonts w:hint="eastAsia" w:ascii="宋体" w:hAnsi="宋体" w:eastAsia="宋体" w:cs="宋体"/>
                <w:color w:val="FF0000"/>
                <w:sz w:val="24"/>
                <w:szCs w:val="24"/>
              </w:rPr>
            </w:pPr>
            <w:r>
              <w:rPr>
                <w:rFonts w:hint="eastAsia" w:ascii="宋体" w:hAnsi="宋体" w:eastAsia="宋体" w:cs="宋体"/>
                <w:color w:val="000000" w:themeColor="text1"/>
                <w:kern w:val="0"/>
                <w:sz w:val="24"/>
                <w:szCs w:val="24"/>
                <w14:textFill>
                  <w14:solidFill>
                    <w14:schemeClr w14:val="tx1"/>
                  </w14:solidFill>
                </w14:textFill>
              </w:rPr>
              <w:t>20</w:t>
            </w:r>
            <w:r>
              <w:rPr>
                <w:rFonts w:hint="eastAsia" w:ascii="宋体" w:hAnsi="宋体" w:eastAsia="宋体" w:cs="宋体"/>
                <w:color w:val="000000" w:themeColor="text1"/>
                <w:kern w:val="0"/>
                <w:sz w:val="24"/>
                <w:szCs w:val="24"/>
                <w:lang w:val="en-US" w:eastAsia="zh-CN"/>
                <w14:textFill>
                  <w14:solidFill>
                    <w14:schemeClr w14:val="tx1"/>
                  </w14:solidFill>
                </w14:textFill>
              </w:rPr>
              <w:t>20</w:t>
            </w:r>
            <w:r>
              <w:rPr>
                <w:rFonts w:hint="eastAsia" w:ascii="宋体" w:hAnsi="宋体" w:eastAsia="宋体" w:cs="宋体"/>
                <w:color w:val="000000" w:themeColor="text1"/>
                <w:kern w:val="0"/>
                <w:sz w:val="24"/>
                <w:szCs w:val="24"/>
                <w14:textFill>
                  <w14:solidFill>
                    <w14:schemeClr w14:val="tx1"/>
                  </w14:solidFill>
                </w14:textFill>
              </w:rPr>
              <w:t>年</w:t>
            </w:r>
            <w:r>
              <w:rPr>
                <w:rFonts w:hint="eastAsia" w:ascii="宋体" w:hAnsi="宋体" w:eastAsia="宋体" w:cs="宋体"/>
                <w:color w:val="000000" w:themeColor="text1"/>
                <w:kern w:val="0"/>
                <w:sz w:val="24"/>
                <w:szCs w:val="24"/>
                <w:lang w:val="en-US" w:eastAsia="zh-CN"/>
                <w14:textFill>
                  <w14:solidFill>
                    <w14:schemeClr w14:val="tx1"/>
                  </w14:solidFill>
                </w14:textFill>
              </w:rPr>
              <w:t>12</w:t>
            </w:r>
            <w:r>
              <w:rPr>
                <w:rFonts w:hint="eastAsia" w:ascii="宋体" w:hAnsi="宋体" w:eastAsia="宋体" w:cs="宋体"/>
                <w:color w:val="000000" w:themeColor="text1"/>
                <w:kern w:val="0"/>
                <w:sz w:val="24"/>
                <w:szCs w:val="24"/>
                <w14:textFill>
                  <w14:solidFill>
                    <w14:schemeClr w14:val="tx1"/>
                  </w14:solidFill>
                </w14:textFill>
              </w:rPr>
              <w:t>月开工建设，20</w:t>
            </w:r>
            <w:r>
              <w:rPr>
                <w:rFonts w:hint="eastAsia" w:ascii="宋体" w:hAnsi="宋体" w:eastAsia="宋体" w:cs="宋体"/>
                <w:color w:val="000000" w:themeColor="text1"/>
                <w:kern w:val="0"/>
                <w:sz w:val="24"/>
                <w:szCs w:val="24"/>
                <w:lang w:val="en-US" w:eastAsia="zh-CN"/>
                <w14:textFill>
                  <w14:solidFill>
                    <w14:schemeClr w14:val="tx1"/>
                  </w14:solidFill>
                </w14:textFill>
              </w:rPr>
              <w:t>21</w:t>
            </w:r>
            <w:r>
              <w:rPr>
                <w:rFonts w:hint="eastAsia" w:ascii="宋体" w:hAnsi="宋体" w:eastAsia="宋体" w:cs="宋体"/>
                <w:color w:val="000000" w:themeColor="text1"/>
                <w:kern w:val="0"/>
                <w:sz w:val="24"/>
                <w:szCs w:val="24"/>
                <w14:textFill>
                  <w14:solidFill>
                    <w14:schemeClr w14:val="tx1"/>
                  </w14:solidFill>
                </w14:textFill>
              </w:rPr>
              <w:t>年</w:t>
            </w:r>
            <w:r>
              <w:rPr>
                <w:rFonts w:hint="eastAsia" w:ascii="宋体" w:hAnsi="宋体" w:eastAsia="宋体" w:cs="宋体"/>
                <w:color w:val="000000" w:themeColor="text1"/>
                <w:kern w:val="0"/>
                <w:sz w:val="24"/>
                <w:szCs w:val="24"/>
                <w:lang w:val="en-US" w:eastAsia="zh-CN"/>
                <w14:textFill>
                  <w14:solidFill>
                    <w14:schemeClr w14:val="tx1"/>
                  </w14:solidFill>
                </w14:textFill>
              </w:rPr>
              <w:t>1</w:t>
            </w:r>
            <w:r>
              <w:rPr>
                <w:rFonts w:hint="eastAsia" w:ascii="宋体" w:hAnsi="宋体" w:eastAsia="宋体" w:cs="宋体"/>
                <w:color w:val="000000" w:themeColor="text1"/>
                <w:kern w:val="0"/>
                <w:sz w:val="24"/>
                <w:szCs w:val="24"/>
                <w14:textFill>
                  <w14:solidFill>
                    <w14:schemeClr w14:val="tx1"/>
                  </w14:solidFill>
                </w14:textFill>
              </w:rPr>
              <w:t>月完成施工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6" w:hRule="exact"/>
          <w:jc w:val="center"/>
        </w:trPr>
        <w:tc>
          <w:tcPr>
            <w:tcW w:w="3284"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120" w:leftChars="57"/>
              <w:jc w:val="center"/>
              <w:textAlignment w:val="auto"/>
              <w:rPr>
                <w:rFonts w:hint="eastAsia" w:ascii="宋体" w:hAnsi="宋体" w:eastAsia="宋体" w:cs="宋体"/>
                <w:sz w:val="24"/>
                <w:szCs w:val="24"/>
              </w:rPr>
            </w:pPr>
            <w:r>
              <w:rPr>
                <w:rFonts w:hint="eastAsia" w:ascii="宋体" w:hAnsi="宋体" w:eastAsia="宋体" w:cs="宋体"/>
                <w:sz w:val="24"/>
                <w:szCs w:val="24"/>
              </w:rPr>
              <w:t>水土保持方案编制单位</w:t>
            </w:r>
          </w:p>
        </w:tc>
        <w:tc>
          <w:tcPr>
            <w:tcW w:w="5547" w:type="dxa"/>
            <w:gridSpan w:val="3"/>
            <w:vAlign w:val="center"/>
          </w:tcPr>
          <w:p>
            <w:pPr>
              <w:keepNext w:val="0"/>
              <w:keepLines w:val="0"/>
              <w:pageBreakBefore w:val="0"/>
              <w:widowControl w:val="0"/>
              <w:kinsoku/>
              <w:wordWrap/>
              <w:overflowPunct/>
              <w:topLinePunct w:val="0"/>
              <w:autoSpaceDE/>
              <w:autoSpaceDN/>
              <w:bidi w:val="0"/>
              <w:adjustRightInd/>
              <w:snapToGrid/>
              <w:spacing w:line="240" w:lineRule="auto"/>
              <w:ind w:left="120" w:leftChars="57" w:right="120"/>
              <w:jc w:val="center"/>
              <w:textAlignment w:val="auto"/>
              <w:rPr>
                <w:rFonts w:hint="eastAsia" w:ascii="宋体" w:hAnsi="宋体" w:eastAsia="宋体" w:cs="宋体"/>
                <w:sz w:val="24"/>
                <w:szCs w:val="24"/>
                <w:lang w:eastAsia="zh-CN"/>
              </w:rPr>
            </w:pPr>
            <w:r>
              <w:rPr>
                <w:rFonts w:hint="eastAsia" w:ascii="宋体" w:hAnsi="宋体" w:eastAsia="宋体" w:cs="宋体"/>
                <w:color w:val="000000" w:themeColor="text1"/>
                <w:kern w:val="0"/>
                <w:sz w:val="24"/>
                <w:szCs w:val="24"/>
                <w:lang w:eastAsia="zh-CN"/>
                <w14:textFill>
                  <w14:solidFill>
                    <w14:schemeClr w14:val="tx1"/>
                  </w14:solidFill>
                </w14:textFill>
              </w:rPr>
              <w:t>四川众鑫成宇工程项目管理咨询有限公司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0" w:hRule="exact"/>
          <w:jc w:val="center"/>
        </w:trPr>
        <w:tc>
          <w:tcPr>
            <w:tcW w:w="3284"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120" w:leftChars="57"/>
              <w:jc w:val="center"/>
              <w:textAlignment w:val="auto"/>
              <w:rPr>
                <w:rFonts w:hint="eastAsia" w:ascii="宋体" w:hAnsi="宋体" w:eastAsia="宋体" w:cs="宋体"/>
                <w:sz w:val="24"/>
                <w:szCs w:val="24"/>
              </w:rPr>
            </w:pPr>
            <w:r>
              <w:rPr>
                <w:rFonts w:hint="eastAsia" w:ascii="宋体" w:hAnsi="宋体" w:eastAsia="宋体" w:cs="宋体"/>
                <w:sz w:val="24"/>
                <w:szCs w:val="24"/>
              </w:rPr>
              <w:t>水土保持初步设计单位</w:t>
            </w:r>
          </w:p>
        </w:tc>
        <w:tc>
          <w:tcPr>
            <w:tcW w:w="5547" w:type="dxa"/>
            <w:gridSpan w:val="3"/>
            <w:vAlign w:val="center"/>
          </w:tcPr>
          <w:p>
            <w:pPr>
              <w:keepNext w:val="0"/>
              <w:keepLines w:val="0"/>
              <w:pageBreakBefore w:val="0"/>
              <w:widowControl w:val="0"/>
              <w:kinsoku/>
              <w:wordWrap/>
              <w:overflowPunct/>
              <w:topLinePunct w:val="0"/>
              <w:autoSpaceDE/>
              <w:autoSpaceDN/>
              <w:bidi w:val="0"/>
              <w:adjustRightInd/>
              <w:snapToGrid/>
              <w:spacing w:line="240" w:lineRule="auto"/>
              <w:ind w:left="120" w:leftChars="57" w:right="120"/>
              <w:jc w:val="center"/>
              <w:textAlignment w:val="auto"/>
              <w:rPr>
                <w:rFonts w:hint="eastAsia" w:ascii="宋体" w:hAnsi="宋体" w:eastAsia="宋体" w:cs="宋体"/>
                <w:sz w:val="24"/>
                <w:szCs w:val="24"/>
                <w:lang w:eastAsia="zh-CN"/>
              </w:rPr>
            </w:pPr>
            <w:r>
              <w:rPr>
                <w:rFonts w:hint="eastAsia" w:ascii="宋体" w:hAnsi="宋体" w:eastAsia="宋体" w:cs="宋体"/>
                <w:color w:val="000000" w:themeColor="text1"/>
                <w:kern w:val="0"/>
                <w:sz w:val="24"/>
                <w:szCs w:val="24"/>
                <w:lang w:eastAsia="zh-CN"/>
                <w14:textFill>
                  <w14:solidFill>
                    <w14:schemeClr w14:val="tx1"/>
                  </w14:solidFill>
                </w14:textFill>
              </w:rPr>
              <w:t>四川南充电力设计有限公司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6" w:hRule="exact"/>
          <w:jc w:val="center"/>
        </w:trPr>
        <w:tc>
          <w:tcPr>
            <w:tcW w:w="3284"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120" w:leftChars="57"/>
              <w:jc w:val="center"/>
              <w:textAlignment w:val="auto"/>
              <w:rPr>
                <w:rFonts w:hint="eastAsia" w:ascii="宋体" w:hAnsi="宋体" w:eastAsia="宋体" w:cs="宋体"/>
                <w:sz w:val="24"/>
                <w:szCs w:val="24"/>
              </w:rPr>
            </w:pPr>
            <w:r>
              <w:rPr>
                <w:rFonts w:hint="eastAsia" w:ascii="宋体" w:hAnsi="宋体" w:eastAsia="宋体" w:cs="宋体"/>
                <w:sz w:val="24"/>
                <w:szCs w:val="24"/>
              </w:rPr>
              <w:t>水土保持施工单位</w:t>
            </w:r>
          </w:p>
        </w:tc>
        <w:tc>
          <w:tcPr>
            <w:tcW w:w="5547" w:type="dxa"/>
            <w:gridSpan w:val="3"/>
            <w:vAlign w:val="center"/>
          </w:tcPr>
          <w:p>
            <w:pPr>
              <w:keepNext w:val="0"/>
              <w:keepLines w:val="0"/>
              <w:pageBreakBefore w:val="0"/>
              <w:widowControl w:val="0"/>
              <w:kinsoku/>
              <w:wordWrap/>
              <w:overflowPunct/>
              <w:topLinePunct w:val="0"/>
              <w:autoSpaceDE/>
              <w:autoSpaceDN/>
              <w:bidi w:val="0"/>
              <w:adjustRightInd/>
              <w:snapToGrid/>
              <w:spacing w:line="240" w:lineRule="auto"/>
              <w:ind w:left="120" w:leftChars="57" w:right="120"/>
              <w:jc w:val="center"/>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四川南充恒通电力有限公司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59" w:hRule="exact"/>
          <w:jc w:val="center"/>
        </w:trPr>
        <w:tc>
          <w:tcPr>
            <w:tcW w:w="3284"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120" w:leftChars="57"/>
              <w:jc w:val="center"/>
              <w:textAlignment w:val="auto"/>
              <w:rPr>
                <w:rFonts w:hint="eastAsia" w:ascii="宋体" w:hAnsi="宋体" w:eastAsia="宋体" w:cs="宋体"/>
                <w:sz w:val="24"/>
                <w:szCs w:val="24"/>
              </w:rPr>
            </w:pPr>
            <w:r>
              <w:rPr>
                <w:rFonts w:hint="eastAsia" w:ascii="宋体" w:hAnsi="宋体" w:eastAsia="宋体" w:cs="宋体"/>
                <w:sz w:val="24"/>
                <w:szCs w:val="24"/>
              </w:rPr>
              <w:t>水土保持监理单位</w:t>
            </w:r>
          </w:p>
        </w:tc>
        <w:tc>
          <w:tcPr>
            <w:tcW w:w="5547" w:type="dxa"/>
            <w:gridSpan w:val="3"/>
            <w:vAlign w:val="center"/>
          </w:tcPr>
          <w:p>
            <w:pPr>
              <w:keepNext w:val="0"/>
              <w:keepLines w:val="0"/>
              <w:pageBreakBefore w:val="0"/>
              <w:widowControl w:val="0"/>
              <w:kinsoku/>
              <w:wordWrap/>
              <w:overflowPunct/>
              <w:topLinePunct w:val="0"/>
              <w:autoSpaceDE/>
              <w:autoSpaceDN/>
              <w:bidi w:val="0"/>
              <w:adjustRightInd/>
              <w:snapToGrid/>
              <w:spacing w:line="240" w:lineRule="auto"/>
              <w:ind w:left="120" w:leftChars="57" w:right="120"/>
              <w:jc w:val="center"/>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四川东祥工程项目管理有限公司南充分公司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3" w:hRule="exact"/>
          <w:jc w:val="center"/>
        </w:trPr>
        <w:tc>
          <w:tcPr>
            <w:tcW w:w="3284"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120" w:leftChars="57"/>
              <w:jc w:val="center"/>
              <w:textAlignment w:val="auto"/>
              <w:rPr>
                <w:rFonts w:hint="eastAsia" w:ascii="宋体" w:hAnsi="宋体" w:eastAsia="宋体" w:cs="宋体"/>
                <w:sz w:val="24"/>
                <w:szCs w:val="24"/>
              </w:rPr>
            </w:pPr>
            <w:r>
              <w:rPr>
                <w:rFonts w:hint="eastAsia" w:ascii="宋体" w:hAnsi="宋体" w:eastAsia="宋体" w:cs="宋体"/>
                <w:sz w:val="24"/>
                <w:szCs w:val="24"/>
              </w:rPr>
              <w:t>水土保持设施验收</w:t>
            </w:r>
          </w:p>
          <w:p>
            <w:pPr>
              <w:keepNext w:val="0"/>
              <w:keepLines w:val="0"/>
              <w:pageBreakBefore w:val="0"/>
              <w:widowControl w:val="0"/>
              <w:kinsoku/>
              <w:wordWrap/>
              <w:overflowPunct/>
              <w:topLinePunct w:val="0"/>
              <w:autoSpaceDE/>
              <w:autoSpaceDN/>
              <w:bidi w:val="0"/>
              <w:adjustRightInd/>
              <w:snapToGrid/>
              <w:spacing w:line="240" w:lineRule="auto"/>
              <w:ind w:left="120" w:leftChars="57"/>
              <w:jc w:val="center"/>
              <w:textAlignment w:val="auto"/>
              <w:rPr>
                <w:rFonts w:hint="eastAsia" w:ascii="宋体" w:hAnsi="宋体" w:eastAsia="宋体" w:cs="宋体"/>
                <w:sz w:val="24"/>
                <w:szCs w:val="24"/>
              </w:rPr>
            </w:pPr>
            <w:r>
              <w:rPr>
                <w:rFonts w:hint="eastAsia" w:ascii="宋体" w:hAnsi="宋体" w:eastAsia="宋体" w:cs="宋体"/>
                <w:sz w:val="24"/>
                <w:szCs w:val="24"/>
              </w:rPr>
              <w:t>报告编制单位</w:t>
            </w:r>
          </w:p>
        </w:tc>
        <w:tc>
          <w:tcPr>
            <w:tcW w:w="5547" w:type="dxa"/>
            <w:gridSpan w:val="3"/>
            <w:vAlign w:val="center"/>
          </w:tcPr>
          <w:p>
            <w:pPr>
              <w:keepNext w:val="0"/>
              <w:keepLines w:val="0"/>
              <w:pageBreakBefore w:val="0"/>
              <w:widowControl w:val="0"/>
              <w:kinsoku/>
              <w:wordWrap/>
              <w:overflowPunct/>
              <w:topLinePunct w:val="0"/>
              <w:autoSpaceDE/>
              <w:autoSpaceDN/>
              <w:bidi w:val="0"/>
              <w:adjustRightInd/>
              <w:snapToGrid/>
              <w:spacing w:line="240" w:lineRule="auto"/>
              <w:ind w:left="120" w:leftChars="57" w:right="120"/>
              <w:jc w:val="center"/>
              <w:textAlignment w:val="auto"/>
              <w:rPr>
                <w:rFonts w:hint="eastAsia" w:ascii="宋体" w:hAnsi="宋体" w:eastAsia="宋体" w:cs="宋体"/>
                <w:sz w:val="24"/>
                <w:szCs w:val="24"/>
              </w:rPr>
            </w:pPr>
            <w:r>
              <w:rPr>
                <w:rFonts w:hint="eastAsia" w:ascii="宋体" w:hAnsi="宋体" w:eastAsia="宋体" w:cs="宋体"/>
                <w:sz w:val="24"/>
                <w:szCs w:val="24"/>
              </w:rPr>
              <w:t>四川眉山华能工程技术咨询设计有限公司</w:t>
            </w:r>
          </w:p>
          <w:p>
            <w:pPr>
              <w:keepNext w:val="0"/>
              <w:keepLines w:val="0"/>
              <w:pageBreakBefore w:val="0"/>
              <w:widowControl w:val="0"/>
              <w:kinsoku/>
              <w:wordWrap/>
              <w:overflowPunct/>
              <w:topLinePunct w:val="0"/>
              <w:autoSpaceDE/>
              <w:autoSpaceDN/>
              <w:bidi w:val="0"/>
              <w:adjustRightInd/>
              <w:snapToGrid/>
              <w:spacing w:line="240" w:lineRule="auto"/>
              <w:ind w:left="120" w:right="120"/>
              <w:jc w:val="center"/>
              <w:textAlignment w:val="auto"/>
              <w:rPr>
                <w:rFonts w:hint="eastAsia" w:ascii="宋体" w:hAnsi="宋体" w:eastAsia="宋体" w:cs="宋体"/>
                <w:sz w:val="24"/>
                <w:szCs w:val="24"/>
              </w:rPr>
            </w:pPr>
          </w:p>
        </w:tc>
      </w:tr>
    </w:tbl>
    <w:p>
      <w:pPr>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rPr>
        <w:br w:type="page"/>
      </w:r>
    </w:p>
    <w:p>
      <w:pPr>
        <w:ind w:firstLine="602" w:firstLineChars="200"/>
        <w:rPr>
          <w:rFonts w:hint="default" w:ascii="Times New Roman" w:hAnsi="Times New Roman" w:eastAsia="仿宋_GB2312" w:cs="Times New Roman"/>
          <w:b/>
          <w:bCs/>
        </w:rPr>
      </w:pPr>
      <w:r>
        <w:rPr>
          <w:rFonts w:hint="default" w:ascii="Times New Roman" w:hAnsi="Times New Roman" w:eastAsia="仿宋_GB2312" w:cs="Times New Roman"/>
          <w:b/>
          <w:bCs/>
          <w:sz w:val="30"/>
          <w:szCs w:val="30"/>
        </w:rPr>
        <w:t>二、验收意见</w:t>
      </w:r>
    </w:p>
    <w:tbl>
      <w:tblPr>
        <w:tblStyle w:val="12"/>
        <w:tblW w:w="934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3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120" w:hRule="atLeast"/>
          <w:jc w:val="center"/>
        </w:trPr>
        <w:tc>
          <w:tcPr>
            <w:tcW w:w="9340" w:type="dxa"/>
          </w:tcPr>
          <w:p>
            <w:pPr>
              <w:snapToGrid w:val="0"/>
              <w:spacing w:line="560" w:lineRule="exact"/>
              <w:ind w:firstLine="600" w:firstLineChars="200"/>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rPr>
              <w:t>根据《中华人民共和国水土保持法》、《水利部办公厅关于印发生产建设项目水土保持设施自主验收规程（试行）的通知》（办水保【2018】133号）及《四川省水利厅转发水利部关于加强事中事后监管规范生产建设项目水土保持设施自主验收的通知》（川水函【2018】887号）的规定，</w:t>
            </w:r>
            <w:r>
              <w:rPr>
                <w:rFonts w:hint="default" w:ascii="Times New Roman" w:hAnsi="Times New Roman" w:eastAsia="仿宋_GB2312" w:cs="Times New Roman"/>
                <w:sz w:val="30"/>
                <w:szCs w:val="30"/>
                <w:lang w:eastAsia="zh-CN"/>
              </w:rPr>
              <w:t>国网四川省电力公司南充供电公司</w:t>
            </w:r>
            <w:r>
              <w:rPr>
                <w:rFonts w:hint="default" w:ascii="Times New Roman" w:hAnsi="Times New Roman" w:eastAsia="仿宋_GB2312" w:cs="Times New Roman"/>
                <w:sz w:val="30"/>
                <w:szCs w:val="30"/>
              </w:rPr>
              <w:t>于20</w:t>
            </w:r>
            <w:r>
              <w:rPr>
                <w:rFonts w:hint="default" w:ascii="Times New Roman" w:hAnsi="Times New Roman" w:eastAsia="仿宋_GB2312" w:cs="Times New Roman"/>
                <w:sz w:val="30"/>
                <w:szCs w:val="30"/>
                <w:lang w:val="en-US" w:eastAsia="zh-CN"/>
              </w:rPr>
              <w:t>2</w:t>
            </w:r>
            <w:r>
              <w:rPr>
                <w:rFonts w:hint="eastAsia" w:ascii="Times New Roman" w:hAnsi="Times New Roman" w:eastAsia="仿宋_GB2312" w:cs="Times New Roman"/>
                <w:sz w:val="30"/>
                <w:szCs w:val="30"/>
                <w:lang w:val="en-US" w:eastAsia="zh-CN"/>
              </w:rPr>
              <w:t>1</w:t>
            </w:r>
            <w:r>
              <w:rPr>
                <w:rFonts w:hint="default" w:ascii="Times New Roman" w:hAnsi="Times New Roman" w:eastAsia="仿宋_GB2312" w:cs="Times New Roman"/>
                <w:sz w:val="30"/>
                <w:szCs w:val="30"/>
              </w:rPr>
              <w:t>年</w:t>
            </w:r>
            <w:r>
              <w:rPr>
                <w:rFonts w:hint="eastAsia" w:ascii="Times New Roman" w:hAnsi="Times New Roman" w:eastAsia="仿宋_GB2312" w:cs="Times New Roman"/>
                <w:sz w:val="30"/>
                <w:szCs w:val="30"/>
                <w:lang w:val="en-US" w:eastAsia="zh-CN"/>
              </w:rPr>
              <w:t>3</w:t>
            </w:r>
            <w:r>
              <w:rPr>
                <w:rFonts w:hint="default" w:ascii="Times New Roman" w:hAnsi="Times New Roman" w:eastAsia="仿宋_GB2312" w:cs="Times New Roman"/>
                <w:sz w:val="30"/>
                <w:szCs w:val="30"/>
              </w:rPr>
              <w:t>月</w:t>
            </w:r>
            <w:r>
              <w:rPr>
                <w:rFonts w:hint="eastAsia" w:ascii="Times New Roman" w:hAnsi="Times New Roman" w:eastAsia="仿宋_GB2312" w:cs="Times New Roman"/>
                <w:sz w:val="30"/>
                <w:szCs w:val="30"/>
                <w:lang w:val="en-US" w:eastAsia="zh-CN"/>
              </w:rPr>
              <w:t>19日</w:t>
            </w:r>
            <w:r>
              <w:rPr>
                <w:rFonts w:hint="default" w:ascii="Times New Roman" w:hAnsi="Times New Roman" w:eastAsia="仿宋_GB2312" w:cs="Times New Roman"/>
                <w:sz w:val="30"/>
                <w:szCs w:val="30"/>
              </w:rPr>
              <w:t>在</w:t>
            </w:r>
            <w:r>
              <w:rPr>
                <w:rFonts w:hint="default" w:ascii="Times New Roman" w:hAnsi="Times New Roman" w:eastAsia="仿宋_GB2312" w:cs="Times New Roman"/>
                <w:sz w:val="30"/>
                <w:szCs w:val="30"/>
                <w:lang w:eastAsia="zh-CN"/>
              </w:rPr>
              <w:t>南充市（国网四川省电力公司南充供电公司会议室）</w:t>
            </w:r>
            <w:r>
              <w:rPr>
                <w:rFonts w:hint="default" w:ascii="Times New Roman" w:hAnsi="Times New Roman" w:eastAsia="仿宋_GB2312" w:cs="Times New Roman"/>
                <w:sz w:val="30"/>
                <w:szCs w:val="30"/>
              </w:rPr>
              <w:t>召开了</w:t>
            </w:r>
            <w:r>
              <w:rPr>
                <w:rFonts w:hint="eastAsia" w:ascii="Times New Roman" w:hAnsi="Times New Roman" w:eastAsia="仿宋_GB2312" w:cs="Times New Roman"/>
                <w:sz w:val="30"/>
                <w:szCs w:val="30"/>
                <w:lang w:eastAsia="zh-CN"/>
              </w:rPr>
              <w:t>南充仪陇五福35kV配电化变电站新建工程</w:t>
            </w:r>
            <w:r>
              <w:rPr>
                <w:rFonts w:hint="default" w:ascii="Times New Roman" w:hAnsi="Times New Roman" w:eastAsia="仿宋_GB2312" w:cs="Times New Roman"/>
                <w:sz w:val="30"/>
                <w:szCs w:val="30"/>
              </w:rPr>
              <w:t>水土保持设施竣工验收会议。参加会议的有</w:t>
            </w:r>
            <w:r>
              <w:rPr>
                <w:rFonts w:hint="default" w:ascii="Times New Roman" w:hAnsi="Times New Roman" w:eastAsia="仿宋_GB2312" w:cs="Times New Roman"/>
                <w:sz w:val="30"/>
                <w:szCs w:val="30"/>
                <w:lang w:eastAsia="zh-CN"/>
              </w:rPr>
              <w:t>国网四川省电力公司南充供电公司、</w:t>
            </w:r>
            <w:r>
              <w:rPr>
                <w:rFonts w:hint="default" w:ascii="Times New Roman" w:hAnsi="Times New Roman" w:eastAsia="仿宋_GB2312" w:cs="Times New Roman"/>
                <w:sz w:val="30"/>
                <w:szCs w:val="30"/>
              </w:rPr>
              <w:t>水土保持方案编制单位</w:t>
            </w:r>
            <w:r>
              <w:rPr>
                <w:rFonts w:hint="eastAsia" w:ascii="Times New Roman" w:hAnsi="Times New Roman" w:eastAsia="仿宋_GB2312" w:cs="Times New Roman"/>
                <w:color w:val="000000" w:themeColor="text1"/>
                <w:kern w:val="0"/>
                <w:sz w:val="30"/>
                <w:szCs w:val="30"/>
                <w:lang w:eastAsia="zh-CN"/>
                <w14:textFill>
                  <w14:solidFill>
                    <w14:schemeClr w14:val="tx1"/>
                  </w14:solidFill>
                </w14:textFill>
              </w:rPr>
              <w:t>四川众鑫成宇工程项目管理咨询有限公司</w:t>
            </w:r>
            <w:r>
              <w:rPr>
                <w:rFonts w:hint="default" w:ascii="Times New Roman" w:hAnsi="Times New Roman" w:eastAsia="仿宋_GB2312" w:cs="Times New Roman"/>
                <w:sz w:val="30"/>
                <w:szCs w:val="30"/>
              </w:rPr>
              <w:t>、水土保持验收编制单位四川眉山华能工程技术咨询设计有限公司、监理单位</w:t>
            </w:r>
            <w:r>
              <w:rPr>
                <w:rFonts w:hint="eastAsia" w:ascii="Times New Roman" w:hAnsi="Times New Roman" w:eastAsia="仿宋_GB2312" w:cs="Times New Roman"/>
                <w:sz w:val="30"/>
                <w:szCs w:val="30"/>
                <w:lang w:eastAsia="zh-CN"/>
              </w:rPr>
              <w:t>四川东祥工程项目管理有限公司南充分公司</w:t>
            </w:r>
            <w:r>
              <w:rPr>
                <w:rFonts w:hint="default" w:ascii="Times New Roman" w:hAnsi="Times New Roman" w:eastAsia="仿宋_GB2312" w:cs="Times New Roman"/>
                <w:sz w:val="30"/>
                <w:szCs w:val="30"/>
              </w:rPr>
              <w:t>、施工单位</w:t>
            </w:r>
            <w:r>
              <w:rPr>
                <w:rFonts w:hint="default" w:ascii="Times New Roman" w:hAnsi="Times New Roman" w:eastAsia="仿宋_GB2312" w:cs="Times New Roman"/>
                <w:sz w:val="30"/>
                <w:szCs w:val="30"/>
                <w:lang w:eastAsia="zh-CN"/>
              </w:rPr>
              <w:t>四川南充恒通电力有限公司，参会人员名单附后</w:t>
            </w:r>
            <w:r>
              <w:rPr>
                <w:rFonts w:hint="default" w:ascii="Times New Roman" w:hAnsi="Times New Roman" w:eastAsia="仿宋_GB2312" w:cs="Times New Roman"/>
                <w:sz w:val="30"/>
                <w:szCs w:val="30"/>
              </w:rPr>
              <w:t>。</w:t>
            </w:r>
          </w:p>
          <w:p>
            <w:pPr>
              <w:snapToGrid w:val="0"/>
              <w:spacing w:line="560" w:lineRule="exact"/>
              <w:ind w:firstLine="600" w:firstLineChars="200"/>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rPr>
              <w:t>验收组及与会代表查勘了工程现场，听取了建设单位水土保持工作开展情况汇报，施工单位水土保持措施实施情况，监理单位水土保持设施监理情况汇报，方案编制单位水土保持设施满足方案编制情况汇报，验收报告编制单位水土保持设施验收总结情况汇报，验收组在认真讨论后，形成验收意见如下：</w:t>
            </w:r>
          </w:p>
          <w:p>
            <w:pPr>
              <w:snapToGrid w:val="0"/>
              <w:spacing w:line="560" w:lineRule="exact"/>
              <w:ind w:firstLine="555"/>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rPr>
              <w:t>（一）项目概况</w:t>
            </w:r>
          </w:p>
          <w:p>
            <w:pPr>
              <w:snapToGrid w:val="0"/>
              <w:spacing w:line="560" w:lineRule="exact"/>
              <w:ind w:firstLine="600" w:firstLineChars="200"/>
              <w:rPr>
                <w:rFonts w:hint="default" w:ascii="Times New Roman" w:hAnsi="Times New Roman" w:eastAsia="仿宋_GB2312" w:cs="Times New Roman"/>
                <w:sz w:val="30"/>
                <w:szCs w:val="30"/>
              </w:rPr>
            </w:pPr>
            <w:r>
              <w:rPr>
                <w:rFonts w:hint="eastAsia" w:ascii="Times New Roman" w:hAnsi="Times New Roman" w:eastAsia="仿宋_GB2312" w:cs="Times New Roman"/>
                <w:sz w:val="30"/>
                <w:szCs w:val="30"/>
                <w:lang w:eastAsia="zh-CN"/>
              </w:rPr>
              <w:t>南充仪陇五福35kV配电化变电站新建工程由1.五福35kV配电化变电站新建工程：变电容量6.3MVA。2复兴-金城T接五福35kV配电化变电站35kV线路工程，新建线路1.45km等两部分组成</w:t>
            </w:r>
            <w:r>
              <w:rPr>
                <w:rFonts w:hint="default" w:ascii="Times New Roman" w:hAnsi="Times New Roman" w:eastAsia="仿宋_GB2312" w:cs="Times New Roman"/>
                <w:sz w:val="30"/>
                <w:szCs w:val="30"/>
                <w:lang w:val="en-US" w:eastAsia="zh-CN"/>
              </w:rPr>
              <w:t>。项目工程占地4930m²</w:t>
            </w:r>
            <w:r>
              <w:rPr>
                <w:rFonts w:hint="default" w:ascii="Times New Roman" w:hAnsi="Times New Roman" w:eastAsia="仿宋_GB2312" w:cs="Times New Roman"/>
                <w:sz w:val="30"/>
                <w:szCs w:val="30"/>
              </w:rPr>
              <w:t>。</w:t>
            </w:r>
          </w:p>
          <w:p>
            <w:pPr>
              <w:snapToGrid w:val="0"/>
              <w:spacing w:line="560" w:lineRule="exact"/>
              <w:ind w:firstLine="600" w:firstLineChars="200"/>
              <w:rPr>
                <w:rFonts w:hint="default" w:ascii="Times New Roman" w:hAnsi="Times New Roman" w:eastAsia="仿宋_GB2312" w:cs="Times New Roman"/>
                <w:sz w:val="30"/>
                <w:szCs w:val="30"/>
                <w:lang w:eastAsia="zh-CN"/>
              </w:rPr>
            </w:pPr>
            <w:r>
              <w:rPr>
                <w:rFonts w:hint="default" w:ascii="Times New Roman" w:hAnsi="Times New Roman" w:eastAsia="仿宋_GB2312" w:cs="Times New Roman"/>
                <w:sz w:val="30"/>
                <w:szCs w:val="30"/>
              </w:rPr>
              <w:t>工程建设类型为新建</w:t>
            </w:r>
            <w:r>
              <w:rPr>
                <w:rFonts w:hint="default" w:ascii="Times New Roman" w:hAnsi="Times New Roman" w:eastAsia="仿宋_GB2312" w:cs="Times New Roman"/>
                <w:sz w:val="30"/>
                <w:szCs w:val="30"/>
                <w:lang w:eastAsia="zh-CN"/>
              </w:rPr>
              <w:t>。</w:t>
            </w:r>
          </w:p>
          <w:p>
            <w:pPr>
              <w:snapToGrid w:val="0"/>
              <w:spacing w:line="560" w:lineRule="exact"/>
              <w:ind w:firstLine="600" w:firstLineChars="200"/>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rPr>
              <w:t>工程于20</w:t>
            </w:r>
            <w:r>
              <w:rPr>
                <w:rFonts w:hint="eastAsia" w:ascii="Times New Roman" w:hAnsi="Times New Roman" w:eastAsia="仿宋_GB2312" w:cs="Times New Roman"/>
                <w:sz w:val="30"/>
                <w:szCs w:val="30"/>
                <w:lang w:val="en-US" w:eastAsia="zh-CN"/>
              </w:rPr>
              <w:t>20</w:t>
            </w:r>
            <w:r>
              <w:rPr>
                <w:rFonts w:hint="default" w:ascii="Times New Roman" w:hAnsi="Times New Roman" w:eastAsia="仿宋_GB2312" w:cs="Times New Roman"/>
                <w:sz w:val="30"/>
                <w:szCs w:val="30"/>
              </w:rPr>
              <w:t>年</w:t>
            </w:r>
            <w:r>
              <w:rPr>
                <w:rFonts w:hint="eastAsia" w:ascii="Times New Roman" w:hAnsi="Times New Roman" w:eastAsia="仿宋_GB2312" w:cs="Times New Roman"/>
                <w:sz w:val="30"/>
                <w:szCs w:val="30"/>
                <w:lang w:val="en-US" w:eastAsia="zh-CN"/>
              </w:rPr>
              <w:t>12</w:t>
            </w:r>
            <w:r>
              <w:rPr>
                <w:rFonts w:hint="default" w:ascii="Times New Roman" w:hAnsi="Times New Roman" w:eastAsia="仿宋_GB2312" w:cs="Times New Roman"/>
                <w:sz w:val="30"/>
                <w:szCs w:val="30"/>
              </w:rPr>
              <w:t>月开工， 20</w:t>
            </w:r>
            <w:r>
              <w:rPr>
                <w:rFonts w:hint="eastAsia" w:ascii="Times New Roman" w:hAnsi="Times New Roman" w:eastAsia="仿宋_GB2312" w:cs="Times New Roman"/>
                <w:sz w:val="30"/>
                <w:szCs w:val="30"/>
                <w:lang w:val="en-US" w:eastAsia="zh-CN"/>
              </w:rPr>
              <w:t>21</w:t>
            </w:r>
            <w:r>
              <w:rPr>
                <w:rFonts w:hint="default" w:ascii="Times New Roman" w:hAnsi="Times New Roman" w:eastAsia="仿宋_GB2312" w:cs="Times New Roman"/>
                <w:sz w:val="30"/>
                <w:szCs w:val="30"/>
              </w:rPr>
              <w:t>年</w:t>
            </w:r>
            <w:r>
              <w:rPr>
                <w:rFonts w:hint="eastAsia" w:ascii="Times New Roman" w:hAnsi="Times New Roman" w:eastAsia="仿宋_GB2312" w:cs="Times New Roman"/>
                <w:sz w:val="30"/>
                <w:szCs w:val="30"/>
                <w:lang w:val="en-US" w:eastAsia="zh-CN"/>
              </w:rPr>
              <w:t>1</w:t>
            </w:r>
            <w:r>
              <w:rPr>
                <w:rFonts w:hint="default" w:ascii="Times New Roman" w:hAnsi="Times New Roman" w:eastAsia="仿宋_GB2312" w:cs="Times New Roman"/>
                <w:sz w:val="30"/>
                <w:szCs w:val="30"/>
              </w:rPr>
              <w:t>月竣工。总工期</w:t>
            </w:r>
            <w:r>
              <w:rPr>
                <w:rFonts w:hint="eastAsia" w:ascii="Times New Roman" w:hAnsi="Times New Roman" w:eastAsia="仿宋_GB2312" w:cs="Times New Roman"/>
                <w:sz w:val="30"/>
                <w:szCs w:val="30"/>
                <w:lang w:val="en-US" w:eastAsia="zh-CN"/>
              </w:rPr>
              <w:t>2</w:t>
            </w:r>
            <w:r>
              <w:rPr>
                <w:rFonts w:hint="default" w:ascii="Times New Roman" w:hAnsi="Times New Roman" w:eastAsia="仿宋_GB2312" w:cs="Times New Roman"/>
                <w:sz w:val="30"/>
                <w:szCs w:val="30"/>
              </w:rPr>
              <w:t>个月。</w:t>
            </w:r>
          </w:p>
          <w:p>
            <w:pPr>
              <w:snapToGrid w:val="0"/>
              <w:spacing w:line="560" w:lineRule="exact"/>
              <w:ind w:firstLine="600" w:firstLineChars="200"/>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rPr>
              <w:t>工程总投资546万元，其中土建投资</w:t>
            </w:r>
            <w:r>
              <w:rPr>
                <w:rFonts w:hint="eastAsia" w:ascii="Times New Roman" w:hAnsi="Times New Roman" w:eastAsia="仿宋_GB2312" w:cs="Times New Roman"/>
                <w:sz w:val="30"/>
                <w:szCs w:val="30"/>
                <w:lang w:val="en-US" w:eastAsia="zh-CN"/>
              </w:rPr>
              <w:t>250</w:t>
            </w:r>
            <w:r>
              <w:rPr>
                <w:rFonts w:hint="default" w:ascii="Times New Roman" w:hAnsi="Times New Roman" w:eastAsia="仿宋_GB2312" w:cs="Times New Roman"/>
                <w:sz w:val="30"/>
                <w:szCs w:val="30"/>
              </w:rPr>
              <w:t>万元。建设单位为国网四川省电力公司南充供电公司。由国网四川省电力公司南充供电公司负责投资建设管理。</w:t>
            </w:r>
          </w:p>
          <w:p>
            <w:pPr>
              <w:snapToGrid w:val="0"/>
              <w:spacing w:line="560" w:lineRule="exact"/>
              <w:ind w:firstLine="600" w:firstLineChars="200"/>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rPr>
              <w:t>（二）水土保持方案批复情况</w:t>
            </w:r>
          </w:p>
          <w:p>
            <w:pPr>
              <w:snapToGrid w:val="0"/>
              <w:spacing w:line="560" w:lineRule="exact"/>
              <w:ind w:firstLine="555"/>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rPr>
              <w:t>20</w:t>
            </w:r>
            <w:r>
              <w:rPr>
                <w:rFonts w:hint="eastAsia" w:ascii="Times New Roman" w:hAnsi="Times New Roman" w:eastAsia="仿宋_GB2312" w:cs="Times New Roman"/>
                <w:sz w:val="30"/>
                <w:szCs w:val="30"/>
                <w:lang w:val="en-US" w:eastAsia="zh-CN"/>
              </w:rPr>
              <w:t>20</w:t>
            </w:r>
            <w:r>
              <w:rPr>
                <w:rFonts w:hint="default" w:ascii="Times New Roman" w:hAnsi="Times New Roman" w:eastAsia="仿宋_GB2312" w:cs="Times New Roman"/>
                <w:sz w:val="30"/>
                <w:szCs w:val="30"/>
              </w:rPr>
              <w:t>年</w:t>
            </w:r>
            <w:r>
              <w:rPr>
                <w:rFonts w:hint="eastAsia" w:ascii="Times New Roman" w:hAnsi="Times New Roman" w:eastAsia="仿宋_GB2312" w:cs="Times New Roman"/>
                <w:sz w:val="30"/>
                <w:szCs w:val="30"/>
                <w:lang w:val="en-US" w:eastAsia="zh-CN"/>
              </w:rPr>
              <w:t>10</w:t>
            </w:r>
            <w:r>
              <w:rPr>
                <w:rFonts w:hint="default" w:ascii="Times New Roman" w:hAnsi="Times New Roman" w:eastAsia="仿宋_GB2312" w:cs="Times New Roman"/>
                <w:sz w:val="30"/>
                <w:szCs w:val="30"/>
              </w:rPr>
              <w:t>月，</w:t>
            </w:r>
            <w:r>
              <w:rPr>
                <w:rFonts w:hint="eastAsia" w:ascii="Times New Roman" w:hAnsi="Times New Roman" w:eastAsia="仿宋_GB2312" w:cs="Times New Roman"/>
                <w:sz w:val="30"/>
                <w:szCs w:val="30"/>
                <w:lang w:eastAsia="zh-CN"/>
              </w:rPr>
              <w:t>四川众鑫成宇工程项目管理咨询有限公司</w:t>
            </w:r>
            <w:r>
              <w:rPr>
                <w:rFonts w:hint="default" w:ascii="Times New Roman" w:hAnsi="Times New Roman" w:eastAsia="仿宋_GB2312" w:cs="Times New Roman"/>
                <w:sz w:val="30"/>
                <w:szCs w:val="30"/>
              </w:rPr>
              <w:t>编制完成《</w:t>
            </w:r>
            <w:r>
              <w:rPr>
                <w:rFonts w:hint="eastAsia" w:ascii="Times New Roman" w:hAnsi="Times New Roman" w:eastAsia="仿宋_GB2312" w:cs="Times New Roman"/>
                <w:sz w:val="30"/>
                <w:szCs w:val="30"/>
                <w:lang w:eastAsia="zh-CN"/>
              </w:rPr>
              <w:t>南充仪陇五福35kV配电化变电站新建工程</w:t>
            </w:r>
            <w:r>
              <w:rPr>
                <w:rFonts w:hint="default" w:ascii="Times New Roman" w:hAnsi="Times New Roman" w:eastAsia="仿宋_GB2312" w:cs="Times New Roman"/>
                <w:sz w:val="30"/>
                <w:szCs w:val="30"/>
              </w:rPr>
              <w:t>水土保持方案报告表（送审稿）》。</w:t>
            </w:r>
          </w:p>
          <w:p>
            <w:pPr>
              <w:snapToGrid w:val="0"/>
              <w:spacing w:line="560" w:lineRule="exact"/>
              <w:ind w:firstLine="600" w:firstLineChars="200"/>
              <w:rPr>
                <w:rFonts w:hint="default" w:ascii="Times New Roman" w:hAnsi="Times New Roman" w:eastAsia="仿宋_GB2312" w:cs="Times New Roman"/>
                <w:sz w:val="30"/>
                <w:szCs w:val="30"/>
                <w:lang w:val="en-US" w:eastAsia="zh-CN"/>
              </w:rPr>
            </w:pPr>
            <w:r>
              <w:rPr>
                <w:rFonts w:hint="default" w:ascii="Times New Roman" w:hAnsi="Times New Roman" w:eastAsia="仿宋_GB2312" w:cs="Times New Roman"/>
                <w:sz w:val="30"/>
                <w:szCs w:val="30"/>
              </w:rPr>
              <w:t>2020年12月15日，仪陇县行政审批局以仪陇水保承诺（2020）014号，许可了《南充仪陇五福35kV配电化变电站新建工程水土保持方案》。同时，建设单位承诺：严格执行水土保持三同时制度，项目投产前完成水土保持设施自主验收并报备，开工前缴纳水土保持补偿费0.6409万元</w:t>
            </w:r>
            <w:r>
              <w:rPr>
                <w:rFonts w:hint="default" w:ascii="Times New Roman" w:hAnsi="Times New Roman" w:eastAsia="仿宋_GB2312" w:cs="Times New Roman"/>
                <w:sz w:val="30"/>
                <w:szCs w:val="30"/>
                <w:lang w:val="en-US" w:eastAsia="zh-CN"/>
              </w:rPr>
              <w:t>。</w:t>
            </w:r>
          </w:p>
          <w:p>
            <w:pPr>
              <w:snapToGrid w:val="0"/>
              <w:spacing w:line="560" w:lineRule="exact"/>
              <w:ind w:firstLine="600" w:firstLineChars="200"/>
              <w:rPr>
                <w:rFonts w:hint="default" w:ascii="Times New Roman" w:hAnsi="Times New Roman" w:eastAsia="仿宋_GB2312" w:cs="Times New Roman"/>
                <w:sz w:val="30"/>
                <w:szCs w:val="30"/>
                <w:lang w:eastAsia="zh-CN"/>
              </w:rPr>
            </w:pPr>
            <w:r>
              <w:rPr>
                <w:rFonts w:hint="default" w:ascii="Times New Roman" w:hAnsi="Times New Roman" w:eastAsia="仿宋_GB2312" w:cs="Times New Roman"/>
                <w:sz w:val="30"/>
                <w:szCs w:val="30"/>
                <w:lang w:eastAsia="zh-CN"/>
              </w:rPr>
              <w:t>（三）水土保持初步设计情况</w:t>
            </w:r>
          </w:p>
          <w:p>
            <w:pPr>
              <w:snapToGrid w:val="0"/>
              <w:spacing w:line="560" w:lineRule="exact"/>
              <w:ind w:firstLine="600" w:firstLineChars="200"/>
              <w:rPr>
                <w:rFonts w:hint="default" w:ascii="Times New Roman" w:hAnsi="Times New Roman" w:eastAsia="仿宋_GB2312" w:cs="Times New Roman"/>
                <w:sz w:val="30"/>
                <w:szCs w:val="30"/>
                <w:lang w:eastAsia="zh-CN"/>
              </w:rPr>
            </w:pPr>
            <w:r>
              <w:rPr>
                <w:rFonts w:hint="default" w:ascii="Times New Roman" w:hAnsi="Times New Roman" w:eastAsia="仿宋_GB2312" w:cs="Times New Roman"/>
                <w:sz w:val="30"/>
                <w:szCs w:val="30"/>
                <w:lang w:eastAsia="zh-CN"/>
              </w:rPr>
              <w:t>项目水土保持措施后续设计纳入主体工程一并进行设计，设计单位为</w:t>
            </w:r>
            <w:r>
              <w:rPr>
                <w:rFonts w:hint="default" w:ascii="Times New Roman" w:hAnsi="Times New Roman" w:eastAsia="仿宋_GB2312" w:cs="Times New Roman"/>
                <w:color w:val="000000" w:themeColor="text1"/>
                <w:kern w:val="0"/>
                <w:sz w:val="30"/>
                <w:szCs w:val="30"/>
                <w:lang w:eastAsia="zh-CN"/>
                <w14:textFill>
                  <w14:solidFill>
                    <w14:schemeClr w14:val="tx1"/>
                  </w14:solidFill>
                </w14:textFill>
              </w:rPr>
              <w:t>四川南充电力设计有限公司</w:t>
            </w:r>
            <w:r>
              <w:rPr>
                <w:rFonts w:hint="default" w:ascii="Times New Roman" w:hAnsi="Times New Roman" w:eastAsia="仿宋_GB2312" w:cs="Times New Roman"/>
                <w:sz w:val="30"/>
                <w:szCs w:val="30"/>
                <w:lang w:eastAsia="zh-CN"/>
              </w:rPr>
              <w:t>。</w:t>
            </w:r>
          </w:p>
          <w:p>
            <w:pPr>
              <w:snapToGrid w:val="0"/>
              <w:spacing w:line="560" w:lineRule="exact"/>
              <w:ind w:firstLine="600" w:firstLineChars="200"/>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rPr>
              <w:t>（</w:t>
            </w:r>
            <w:r>
              <w:rPr>
                <w:rFonts w:hint="eastAsia" w:ascii="Times New Roman" w:hAnsi="Times New Roman" w:eastAsia="仿宋_GB2312" w:cs="Times New Roman"/>
                <w:sz w:val="30"/>
                <w:szCs w:val="30"/>
                <w:lang w:val="en-US" w:eastAsia="zh-CN"/>
              </w:rPr>
              <w:t>四</w:t>
            </w:r>
            <w:r>
              <w:rPr>
                <w:rFonts w:hint="default" w:ascii="Times New Roman" w:hAnsi="Times New Roman" w:eastAsia="仿宋_GB2312" w:cs="Times New Roman"/>
                <w:sz w:val="30"/>
                <w:szCs w:val="30"/>
              </w:rPr>
              <w:t xml:space="preserve">）验收报告编制情况和主要结论 </w:t>
            </w:r>
          </w:p>
          <w:p>
            <w:pPr>
              <w:snapToGrid w:val="0"/>
              <w:spacing w:line="560" w:lineRule="exact"/>
              <w:ind w:firstLine="600" w:firstLineChars="200"/>
              <w:rPr>
                <w:rFonts w:hint="default" w:ascii="Times New Roman" w:hAnsi="Times New Roman" w:eastAsia="仿宋_GB2312" w:cs="Times New Roman"/>
                <w:sz w:val="30"/>
                <w:szCs w:val="30"/>
                <w:lang w:val="en-US" w:eastAsia="zh-CN"/>
              </w:rPr>
            </w:pPr>
            <w:r>
              <w:rPr>
                <w:rFonts w:hint="default" w:ascii="Times New Roman" w:hAnsi="Times New Roman" w:eastAsia="仿宋_GB2312" w:cs="Times New Roman"/>
                <w:sz w:val="30"/>
                <w:szCs w:val="30"/>
              </w:rPr>
              <w:t>20</w:t>
            </w:r>
            <w:r>
              <w:rPr>
                <w:rFonts w:hint="default" w:ascii="Times New Roman" w:hAnsi="Times New Roman" w:eastAsia="仿宋_GB2312" w:cs="Times New Roman"/>
                <w:sz w:val="30"/>
                <w:szCs w:val="30"/>
                <w:lang w:val="en-US" w:eastAsia="zh-CN"/>
              </w:rPr>
              <w:t>2</w:t>
            </w:r>
            <w:r>
              <w:rPr>
                <w:rFonts w:hint="eastAsia" w:ascii="Times New Roman" w:hAnsi="Times New Roman" w:eastAsia="仿宋_GB2312" w:cs="Times New Roman"/>
                <w:sz w:val="30"/>
                <w:szCs w:val="30"/>
                <w:lang w:val="en-US" w:eastAsia="zh-CN"/>
              </w:rPr>
              <w:t>1</w:t>
            </w:r>
            <w:r>
              <w:rPr>
                <w:rFonts w:hint="default" w:ascii="Times New Roman" w:hAnsi="Times New Roman" w:eastAsia="仿宋_GB2312" w:cs="Times New Roman"/>
                <w:sz w:val="30"/>
                <w:szCs w:val="30"/>
              </w:rPr>
              <w:t xml:space="preserve"> 年</w:t>
            </w:r>
            <w:r>
              <w:rPr>
                <w:rFonts w:hint="eastAsia" w:ascii="Times New Roman" w:hAnsi="Times New Roman" w:eastAsia="仿宋_GB2312" w:cs="Times New Roman"/>
                <w:sz w:val="30"/>
                <w:szCs w:val="30"/>
                <w:lang w:val="en-US" w:eastAsia="zh-CN"/>
              </w:rPr>
              <w:t>2</w:t>
            </w:r>
            <w:r>
              <w:rPr>
                <w:rFonts w:hint="default" w:ascii="Times New Roman" w:hAnsi="Times New Roman" w:eastAsia="仿宋_GB2312" w:cs="Times New Roman"/>
                <w:sz w:val="30"/>
                <w:szCs w:val="30"/>
              </w:rPr>
              <w:t>月，</w:t>
            </w:r>
            <w:r>
              <w:rPr>
                <w:rFonts w:hint="default" w:ascii="Times New Roman" w:hAnsi="Times New Roman" w:eastAsia="仿宋_GB2312" w:cs="Times New Roman"/>
                <w:sz w:val="30"/>
                <w:szCs w:val="30"/>
                <w:lang w:eastAsia="zh-CN"/>
              </w:rPr>
              <w:t>建设单位委托四川眉山华能工程技术咨询设计有限公司编制水土保持设施验收报告，</w:t>
            </w:r>
            <w:r>
              <w:rPr>
                <w:rFonts w:hint="default" w:ascii="Times New Roman" w:hAnsi="Times New Roman" w:eastAsia="仿宋_GB2312" w:cs="Times New Roman"/>
                <w:sz w:val="30"/>
                <w:szCs w:val="30"/>
                <w:lang w:val="en-US" w:eastAsia="zh-CN"/>
              </w:rPr>
              <w:t>202</w:t>
            </w:r>
            <w:r>
              <w:rPr>
                <w:rFonts w:hint="eastAsia" w:ascii="Times New Roman" w:hAnsi="Times New Roman" w:eastAsia="仿宋_GB2312" w:cs="Times New Roman"/>
                <w:sz w:val="30"/>
                <w:szCs w:val="30"/>
                <w:lang w:val="en-US" w:eastAsia="zh-CN"/>
              </w:rPr>
              <w:t>1</w:t>
            </w:r>
            <w:r>
              <w:rPr>
                <w:rFonts w:hint="default" w:ascii="Times New Roman" w:hAnsi="Times New Roman" w:eastAsia="仿宋_GB2312" w:cs="Times New Roman"/>
                <w:sz w:val="30"/>
                <w:szCs w:val="30"/>
                <w:lang w:val="en-US" w:eastAsia="zh-CN"/>
              </w:rPr>
              <w:t>年</w:t>
            </w:r>
            <w:r>
              <w:rPr>
                <w:rFonts w:hint="eastAsia" w:ascii="Times New Roman" w:hAnsi="Times New Roman" w:eastAsia="仿宋_GB2312" w:cs="Times New Roman"/>
                <w:sz w:val="30"/>
                <w:szCs w:val="30"/>
                <w:lang w:val="en-US" w:eastAsia="zh-CN"/>
              </w:rPr>
              <w:t>3</w:t>
            </w:r>
            <w:r>
              <w:rPr>
                <w:rFonts w:hint="default" w:ascii="Times New Roman" w:hAnsi="Times New Roman" w:eastAsia="仿宋_GB2312" w:cs="Times New Roman"/>
                <w:sz w:val="30"/>
                <w:szCs w:val="30"/>
                <w:lang w:val="en-US" w:eastAsia="zh-CN"/>
              </w:rPr>
              <w:t>月</w:t>
            </w:r>
            <w:r>
              <w:rPr>
                <w:rFonts w:hint="eastAsia" w:ascii="Times New Roman" w:hAnsi="Times New Roman" w:eastAsia="仿宋_GB2312" w:cs="Times New Roman"/>
                <w:sz w:val="30"/>
                <w:szCs w:val="30"/>
                <w:lang w:val="en-US" w:eastAsia="zh-CN"/>
              </w:rPr>
              <w:t>，</w:t>
            </w:r>
            <w:r>
              <w:rPr>
                <w:rFonts w:hint="default" w:ascii="Times New Roman" w:hAnsi="Times New Roman" w:eastAsia="仿宋_GB2312" w:cs="Times New Roman"/>
                <w:sz w:val="30"/>
                <w:szCs w:val="30"/>
                <w:lang w:val="en-US" w:eastAsia="zh-CN"/>
              </w:rPr>
              <w:t>受托单位完成《</w:t>
            </w:r>
            <w:r>
              <w:rPr>
                <w:rFonts w:hint="eastAsia" w:ascii="Times New Roman" w:hAnsi="Times New Roman" w:eastAsia="仿宋_GB2312" w:cs="Times New Roman"/>
                <w:sz w:val="30"/>
                <w:szCs w:val="30"/>
                <w:lang w:eastAsia="zh-CN"/>
              </w:rPr>
              <w:t>南充仪陇五福35kV配电化变电站新建工程</w:t>
            </w:r>
            <w:r>
              <w:rPr>
                <w:rFonts w:hint="default" w:ascii="Times New Roman" w:hAnsi="Times New Roman" w:eastAsia="仿宋_GB2312" w:cs="Times New Roman"/>
                <w:sz w:val="30"/>
                <w:szCs w:val="30"/>
                <w:lang w:val="en-US" w:eastAsia="zh-CN"/>
              </w:rPr>
              <w:t>水土保持设施验收报告》编制工作，报告主要结论为</w:t>
            </w:r>
            <w:r>
              <w:rPr>
                <w:rFonts w:hint="eastAsia" w:ascii="Times New Roman" w:hAnsi="Times New Roman" w:eastAsia="仿宋_GB2312" w:cs="Times New Roman"/>
                <w:sz w:val="30"/>
                <w:szCs w:val="30"/>
                <w:lang w:val="en-US" w:eastAsia="zh-CN"/>
              </w:rPr>
              <w:t>；</w:t>
            </w:r>
          </w:p>
          <w:p>
            <w:pPr>
              <w:snapToGrid w:val="0"/>
              <w:spacing w:line="560" w:lineRule="exact"/>
              <w:ind w:firstLine="600" w:firstLineChars="200"/>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rPr>
              <w:t>1.总体结论：建设单位在工程建设过程中，积极落实水土保持三同时制度，水土保持方案报批手续齐备，水土保持管理机构健全，制度建设及档案管理规范，采取了工程措施、植物措施与管理措施相结合的水土保持措施，形成较为完整的水土流失防护体系。</w:t>
            </w:r>
          </w:p>
          <w:p>
            <w:pPr>
              <w:snapToGrid w:val="0"/>
              <w:spacing w:line="560" w:lineRule="exact"/>
              <w:ind w:firstLine="600" w:firstLineChars="200"/>
              <w:rPr>
                <w:rFonts w:hint="default" w:ascii="Times New Roman" w:hAnsi="Times New Roman" w:eastAsia="仿宋_GB2312" w:cs="Times New Roman"/>
                <w:sz w:val="30"/>
                <w:szCs w:val="30"/>
                <w:lang w:eastAsia="zh-CN"/>
              </w:rPr>
            </w:pPr>
            <w:r>
              <w:rPr>
                <w:rFonts w:hint="default" w:ascii="Times New Roman" w:hAnsi="Times New Roman" w:eastAsia="仿宋_GB2312" w:cs="Times New Roman"/>
                <w:sz w:val="30"/>
                <w:szCs w:val="30"/>
              </w:rPr>
              <w:t>2.防治责任范围符合方案批复，项目实际水土保持防治责任范围与方案批复一致，为0.</w:t>
            </w:r>
            <w:r>
              <w:rPr>
                <w:rFonts w:hint="eastAsia" w:ascii="Times New Roman" w:hAnsi="Times New Roman" w:eastAsia="仿宋_GB2312" w:cs="Times New Roman"/>
                <w:sz w:val="30"/>
                <w:szCs w:val="30"/>
                <w:lang w:val="en-US" w:eastAsia="zh-CN"/>
              </w:rPr>
              <w:t>49</w:t>
            </w:r>
            <w:r>
              <w:rPr>
                <w:rFonts w:hint="default" w:ascii="Times New Roman" w:hAnsi="Times New Roman" w:eastAsia="仿宋_GB2312" w:cs="Times New Roman"/>
                <w:sz w:val="30"/>
                <w:szCs w:val="30"/>
              </w:rPr>
              <w:t>hm²</w:t>
            </w:r>
            <w:r>
              <w:rPr>
                <w:rFonts w:hint="default" w:ascii="Times New Roman" w:hAnsi="Times New Roman" w:eastAsia="仿宋_GB2312" w:cs="Times New Roman"/>
                <w:sz w:val="30"/>
                <w:szCs w:val="30"/>
                <w:lang w:eastAsia="zh-CN"/>
              </w:rPr>
              <w:t>。</w:t>
            </w:r>
          </w:p>
          <w:p>
            <w:pPr>
              <w:snapToGrid w:val="0"/>
              <w:spacing w:line="560" w:lineRule="exact"/>
              <w:ind w:firstLine="600" w:firstLineChars="200"/>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rPr>
              <w:t>3.水土保持设施满足批复的水土保持方案，完成的水土保持设施为：排水沟100m（占方案任务的100%）、雨水管网20m（占任务的100%）、土地整治0.45hm²（占任务的</w:t>
            </w:r>
            <w:r>
              <w:rPr>
                <w:rFonts w:hint="eastAsia" w:ascii="Times New Roman" w:hAnsi="Times New Roman" w:eastAsia="仿宋_GB2312" w:cs="Times New Roman"/>
                <w:sz w:val="30"/>
                <w:szCs w:val="30"/>
                <w:lang w:val="en-US" w:eastAsia="zh-CN"/>
              </w:rPr>
              <w:t>93.75</w:t>
            </w:r>
            <w:r>
              <w:rPr>
                <w:rFonts w:hint="default" w:ascii="Times New Roman" w:hAnsi="Times New Roman" w:eastAsia="仿宋_GB2312" w:cs="Times New Roman"/>
                <w:sz w:val="30"/>
                <w:szCs w:val="30"/>
              </w:rPr>
              <w:t>%）、土地复耕0.06hm²（占任务的100%）、撒播种草0.45hm²（占任务的10</w:t>
            </w:r>
            <w:r>
              <w:rPr>
                <w:rFonts w:hint="eastAsia" w:ascii="Times New Roman" w:hAnsi="Times New Roman" w:eastAsia="仿宋_GB2312" w:cs="Times New Roman"/>
                <w:sz w:val="30"/>
                <w:szCs w:val="30"/>
                <w:lang w:val="en-US" w:eastAsia="zh-CN"/>
              </w:rPr>
              <w:t>7.14</w:t>
            </w:r>
            <w:r>
              <w:rPr>
                <w:rFonts w:hint="default" w:ascii="Times New Roman" w:hAnsi="Times New Roman" w:eastAsia="仿宋_GB2312" w:cs="Times New Roman"/>
                <w:sz w:val="30"/>
                <w:szCs w:val="30"/>
              </w:rPr>
              <w:t>%）。</w:t>
            </w:r>
          </w:p>
          <w:p>
            <w:pPr>
              <w:snapToGrid w:val="0"/>
              <w:spacing w:line="560" w:lineRule="exact"/>
              <w:ind w:firstLine="600" w:firstLineChars="200"/>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rPr>
              <w:t>通过查阅资料，工程实施过程中，剥离表土213m³（占任务的100%）、回覆表土21</w:t>
            </w:r>
            <w:r>
              <w:rPr>
                <w:rFonts w:hint="eastAsia" w:ascii="Times New Roman" w:hAnsi="Times New Roman" w:eastAsia="仿宋_GB2312" w:cs="Times New Roman"/>
                <w:sz w:val="30"/>
                <w:szCs w:val="30"/>
                <w:lang w:val="en-US" w:eastAsia="zh-CN"/>
              </w:rPr>
              <w:t>3</w:t>
            </w:r>
            <w:r>
              <w:rPr>
                <w:rFonts w:hint="default" w:ascii="Times New Roman" w:hAnsi="Times New Roman" w:eastAsia="仿宋_GB2312" w:cs="Times New Roman"/>
                <w:sz w:val="30"/>
                <w:szCs w:val="30"/>
              </w:rPr>
              <w:t>m³（占任务的10</w:t>
            </w:r>
            <w:r>
              <w:rPr>
                <w:rFonts w:hint="eastAsia" w:ascii="Times New Roman" w:hAnsi="Times New Roman" w:eastAsia="仿宋_GB2312" w:cs="Times New Roman"/>
                <w:sz w:val="30"/>
                <w:szCs w:val="30"/>
                <w:lang w:val="en-US" w:eastAsia="zh-CN"/>
              </w:rPr>
              <w:t>1.42</w:t>
            </w:r>
            <w:r>
              <w:rPr>
                <w:rFonts w:hint="default" w:ascii="Times New Roman" w:hAnsi="Times New Roman" w:eastAsia="仿宋_GB2312" w:cs="Times New Roman"/>
                <w:sz w:val="30"/>
                <w:szCs w:val="30"/>
              </w:rPr>
              <w:t>%），保护了表土资源；实施了防雨布遮盖690㎡（占任务的100%）、土袋拦挡及拆除120m³（占任务的100%）等临时工程，有效防止了水土流失。</w:t>
            </w:r>
            <w:r>
              <w:rPr>
                <w:rFonts w:hint="default" w:ascii="Times New Roman" w:hAnsi="Times New Roman" w:eastAsia="仿宋_GB2312" w:cs="Times New Roman"/>
                <w:sz w:val="30"/>
                <w:szCs w:val="30"/>
              </w:rPr>
              <w:br w:type="textWrapping"/>
            </w:r>
            <w:r>
              <w:rPr>
                <w:rFonts w:hint="eastAsia" w:ascii="Times New Roman" w:hAnsi="Times New Roman" w:eastAsia="仿宋_GB2312" w:cs="Times New Roman"/>
                <w:sz w:val="30"/>
                <w:szCs w:val="30"/>
                <w:lang w:val="en-US" w:eastAsia="zh-CN"/>
              </w:rPr>
              <w:t xml:space="preserve">    </w:t>
            </w:r>
            <w:r>
              <w:rPr>
                <w:rFonts w:hint="default" w:ascii="Times New Roman" w:hAnsi="Times New Roman" w:eastAsia="仿宋_GB2312" w:cs="Times New Roman"/>
                <w:sz w:val="30"/>
                <w:szCs w:val="30"/>
              </w:rPr>
              <w:t>4.投资满足批复要求，完成水土保持投资</w:t>
            </w:r>
            <w:r>
              <w:rPr>
                <w:rFonts w:hint="eastAsia" w:ascii="Times New Roman" w:hAnsi="Times New Roman" w:eastAsia="仿宋_GB2312" w:cs="Times New Roman"/>
                <w:sz w:val="30"/>
                <w:szCs w:val="30"/>
                <w:lang w:val="en-US" w:eastAsia="zh-CN"/>
              </w:rPr>
              <w:t>9.15</w:t>
            </w:r>
            <w:r>
              <w:rPr>
                <w:rFonts w:hint="default" w:ascii="Times New Roman" w:hAnsi="Times New Roman" w:eastAsia="仿宋_GB2312" w:cs="Times New Roman"/>
                <w:sz w:val="30"/>
                <w:szCs w:val="30"/>
              </w:rPr>
              <w:t>万元，占批复投资的</w:t>
            </w:r>
            <w:r>
              <w:rPr>
                <w:rFonts w:hint="eastAsia" w:ascii="Times New Roman" w:hAnsi="Times New Roman" w:eastAsia="仿宋_GB2312" w:cs="Times New Roman"/>
                <w:sz w:val="30"/>
                <w:szCs w:val="30"/>
                <w:lang w:val="en-US" w:eastAsia="zh-CN"/>
              </w:rPr>
              <w:t>104.21</w:t>
            </w:r>
            <w:r>
              <w:rPr>
                <w:rFonts w:hint="default" w:ascii="Times New Roman" w:hAnsi="Times New Roman" w:eastAsia="仿宋_GB2312" w:cs="Times New Roman"/>
                <w:sz w:val="30"/>
                <w:szCs w:val="30"/>
              </w:rPr>
              <w:t>%，其中工程措施</w:t>
            </w:r>
            <w:r>
              <w:rPr>
                <w:rFonts w:hint="eastAsia" w:ascii="Times New Roman" w:hAnsi="Times New Roman" w:eastAsia="仿宋_GB2312" w:cs="Times New Roman"/>
                <w:sz w:val="30"/>
                <w:szCs w:val="30"/>
                <w:lang w:val="en-US" w:eastAsia="zh-CN"/>
              </w:rPr>
              <w:t>1.56</w:t>
            </w:r>
            <w:r>
              <w:rPr>
                <w:rFonts w:hint="default" w:ascii="Times New Roman" w:hAnsi="Times New Roman" w:eastAsia="仿宋_GB2312" w:cs="Times New Roman"/>
                <w:sz w:val="30"/>
                <w:szCs w:val="30"/>
              </w:rPr>
              <w:t>万元、植物措施</w:t>
            </w:r>
            <w:r>
              <w:rPr>
                <w:rFonts w:hint="eastAsia" w:ascii="Times New Roman" w:hAnsi="Times New Roman" w:eastAsia="仿宋_GB2312" w:cs="Times New Roman"/>
                <w:sz w:val="30"/>
                <w:szCs w:val="30"/>
                <w:lang w:val="en-US" w:eastAsia="zh-CN"/>
              </w:rPr>
              <w:t>0.06</w:t>
            </w:r>
            <w:r>
              <w:rPr>
                <w:rFonts w:hint="default" w:ascii="Times New Roman" w:hAnsi="Times New Roman" w:eastAsia="仿宋_GB2312" w:cs="Times New Roman"/>
                <w:sz w:val="30"/>
                <w:szCs w:val="30"/>
              </w:rPr>
              <w:t>万元、临时措施</w:t>
            </w:r>
            <w:r>
              <w:rPr>
                <w:rFonts w:hint="eastAsia" w:ascii="Times New Roman" w:hAnsi="Times New Roman" w:eastAsia="仿宋_GB2312" w:cs="Times New Roman"/>
                <w:sz w:val="30"/>
                <w:szCs w:val="30"/>
                <w:lang w:val="en-US" w:eastAsia="zh-CN"/>
              </w:rPr>
              <w:t>2.65</w:t>
            </w:r>
            <w:r>
              <w:rPr>
                <w:rFonts w:hint="default" w:ascii="Times New Roman" w:hAnsi="Times New Roman" w:eastAsia="仿宋_GB2312" w:cs="Times New Roman"/>
                <w:sz w:val="30"/>
                <w:szCs w:val="30"/>
              </w:rPr>
              <w:t>万元、独立费用</w:t>
            </w:r>
            <w:r>
              <w:rPr>
                <w:rFonts w:hint="eastAsia" w:ascii="Times New Roman" w:hAnsi="Times New Roman" w:eastAsia="仿宋_GB2312" w:cs="Times New Roman"/>
                <w:sz w:val="30"/>
                <w:szCs w:val="30"/>
                <w:lang w:val="en-US" w:eastAsia="zh-CN"/>
              </w:rPr>
              <w:t>3.45</w:t>
            </w:r>
            <w:r>
              <w:rPr>
                <w:rFonts w:hint="default" w:ascii="Times New Roman" w:hAnsi="Times New Roman" w:eastAsia="仿宋_GB2312" w:cs="Times New Roman"/>
                <w:sz w:val="30"/>
                <w:szCs w:val="30"/>
              </w:rPr>
              <w:t>万元、基本预备费</w:t>
            </w:r>
            <w:r>
              <w:rPr>
                <w:rFonts w:hint="eastAsia" w:ascii="Times New Roman" w:hAnsi="Times New Roman" w:eastAsia="仿宋_GB2312" w:cs="Times New Roman"/>
                <w:sz w:val="30"/>
                <w:szCs w:val="30"/>
                <w:lang w:val="en-US" w:eastAsia="zh-CN"/>
              </w:rPr>
              <w:t>0.33</w:t>
            </w:r>
            <w:r>
              <w:rPr>
                <w:rFonts w:hint="default" w:ascii="Times New Roman" w:hAnsi="Times New Roman" w:eastAsia="仿宋_GB2312" w:cs="Times New Roman"/>
                <w:sz w:val="30"/>
                <w:szCs w:val="30"/>
              </w:rPr>
              <w:t>万元，水土保持补偿费0.</w:t>
            </w:r>
            <w:r>
              <w:rPr>
                <w:rFonts w:hint="eastAsia" w:ascii="Times New Roman" w:hAnsi="Times New Roman" w:eastAsia="仿宋_GB2312" w:cs="Times New Roman"/>
                <w:sz w:val="30"/>
                <w:szCs w:val="30"/>
                <w:lang w:val="en-US" w:eastAsia="zh-CN"/>
              </w:rPr>
              <w:t>64</w:t>
            </w:r>
            <w:r>
              <w:rPr>
                <w:rFonts w:hint="default" w:ascii="Times New Roman" w:hAnsi="Times New Roman" w:eastAsia="仿宋_GB2312" w:cs="Times New Roman"/>
                <w:sz w:val="30"/>
                <w:szCs w:val="30"/>
              </w:rPr>
              <w:t xml:space="preserve">万元。 </w:t>
            </w:r>
          </w:p>
          <w:p>
            <w:pPr>
              <w:snapToGrid w:val="0"/>
              <w:spacing w:line="560" w:lineRule="exact"/>
              <w:ind w:firstLine="600" w:firstLineChars="200"/>
              <w:rPr>
                <w:rFonts w:hint="default" w:ascii="Times New Roman" w:hAnsi="Times New Roman" w:eastAsia="仿宋_GB2312" w:cs="Times New Roman"/>
                <w:sz w:val="30"/>
                <w:szCs w:val="30"/>
                <w:lang w:eastAsia="zh-CN"/>
              </w:rPr>
            </w:pPr>
            <w:r>
              <w:rPr>
                <w:rFonts w:hint="default" w:ascii="Times New Roman" w:hAnsi="Times New Roman" w:eastAsia="仿宋_GB2312" w:cs="Times New Roman"/>
                <w:sz w:val="30"/>
                <w:szCs w:val="30"/>
              </w:rPr>
              <w:t>5.防治目标达到了批复方案要求，防治责任范围内水土流失治理度为100%，土壤流失控制比为1.0，渣土防护率</w:t>
            </w:r>
            <w:r>
              <w:rPr>
                <w:rFonts w:hint="eastAsia" w:ascii="Times New Roman" w:hAnsi="Times New Roman" w:eastAsia="仿宋_GB2312" w:cs="Times New Roman"/>
                <w:sz w:val="30"/>
                <w:szCs w:val="30"/>
                <w:lang w:val="en-US" w:eastAsia="zh-CN"/>
              </w:rPr>
              <w:t>100</w:t>
            </w:r>
            <w:r>
              <w:rPr>
                <w:rFonts w:hint="default" w:ascii="Times New Roman" w:hAnsi="Times New Roman" w:eastAsia="仿宋_GB2312" w:cs="Times New Roman"/>
                <w:sz w:val="30"/>
                <w:szCs w:val="30"/>
              </w:rPr>
              <w:t>%，表土保护率</w:t>
            </w:r>
            <w:r>
              <w:rPr>
                <w:rFonts w:hint="eastAsia" w:ascii="Times New Roman" w:hAnsi="Times New Roman" w:eastAsia="仿宋_GB2312" w:cs="Times New Roman"/>
                <w:sz w:val="30"/>
                <w:szCs w:val="30"/>
                <w:lang w:val="en-US" w:eastAsia="zh-CN"/>
              </w:rPr>
              <w:t>100</w:t>
            </w:r>
            <w:r>
              <w:rPr>
                <w:rFonts w:hint="default" w:ascii="Times New Roman" w:hAnsi="Times New Roman" w:eastAsia="仿宋_GB2312" w:cs="Times New Roman"/>
                <w:sz w:val="30"/>
                <w:szCs w:val="30"/>
              </w:rPr>
              <w:t>%，林草植被恢复率</w:t>
            </w:r>
            <w:r>
              <w:rPr>
                <w:rFonts w:hint="eastAsia" w:ascii="Times New Roman" w:hAnsi="Times New Roman" w:eastAsia="仿宋_GB2312" w:cs="Times New Roman"/>
                <w:sz w:val="30"/>
                <w:szCs w:val="30"/>
                <w:lang w:val="en-US" w:eastAsia="zh-CN"/>
              </w:rPr>
              <w:t>100</w:t>
            </w:r>
            <w:r>
              <w:rPr>
                <w:rFonts w:hint="default" w:ascii="Times New Roman" w:hAnsi="Times New Roman" w:eastAsia="仿宋_GB2312" w:cs="Times New Roman"/>
                <w:sz w:val="30"/>
                <w:szCs w:val="30"/>
              </w:rPr>
              <w:t>%，林草覆盖率为</w:t>
            </w:r>
            <w:r>
              <w:rPr>
                <w:rFonts w:hint="eastAsia" w:ascii="Times New Roman" w:hAnsi="Times New Roman" w:eastAsia="仿宋_GB2312" w:cs="Times New Roman"/>
                <w:sz w:val="30"/>
                <w:szCs w:val="30"/>
                <w:lang w:val="en-US" w:eastAsia="zh-CN"/>
              </w:rPr>
              <w:t>80</w:t>
            </w:r>
            <w:r>
              <w:rPr>
                <w:rFonts w:hint="default" w:ascii="Times New Roman" w:hAnsi="Times New Roman" w:eastAsia="仿宋_GB2312" w:cs="Times New Roman"/>
                <w:sz w:val="30"/>
                <w:szCs w:val="30"/>
              </w:rPr>
              <w:t>%</w:t>
            </w:r>
          </w:p>
          <w:p>
            <w:pPr>
              <w:snapToGrid w:val="0"/>
              <w:spacing w:line="560" w:lineRule="exact"/>
              <w:ind w:firstLine="600" w:firstLineChars="200"/>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lang w:eastAsia="zh-CN"/>
              </w:rPr>
              <w:t>（</w:t>
            </w:r>
            <w:r>
              <w:rPr>
                <w:rFonts w:hint="eastAsia" w:ascii="Times New Roman" w:hAnsi="Times New Roman" w:eastAsia="仿宋_GB2312" w:cs="Times New Roman"/>
                <w:sz w:val="30"/>
                <w:szCs w:val="30"/>
                <w:lang w:val="en-US" w:eastAsia="zh-CN"/>
              </w:rPr>
              <w:t>五</w:t>
            </w:r>
            <w:r>
              <w:rPr>
                <w:rFonts w:hint="default" w:ascii="Times New Roman" w:hAnsi="Times New Roman" w:eastAsia="仿宋_GB2312" w:cs="Times New Roman"/>
                <w:sz w:val="30"/>
                <w:szCs w:val="30"/>
                <w:lang w:eastAsia="zh-CN"/>
              </w:rPr>
              <w:t>）验收结论</w:t>
            </w:r>
            <w:r>
              <w:rPr>
                <w:rFonts w:hint="default" w:ascii="Times New Roman" w:hAnsi="Times New Roman" w:eastAsia="仿宋_GB2312" w:cs="Times New Roman"/>
                <w:sz w:val="30"/>
                <w:szCs w:val="30"/>
              </w:rPr>
              <w:t xml:space="preserve"> </w:t>
            </w:r>
          </w:p>
          <w:p>
            <w:pPr>
              <w:snapToGrid w:val="0"/>
              <w:spacing w:line="560" w:lineRule="exact"/>
              <w:ind w:firstLine="600" w:firstLineChars="200"/>
              <w:rPr>
                <w:rFonts w:hint="default" w:ascii="Times New Roman" w:hAnsi="Times New Roman" w:eastAsia="仿宋_GB2312" w:cs="Times New Roman"/>
                <w:color w:val="auto"/>
                <w:sz w:val="30"/>
                <w:szCs w:val="30"/>
                <w:lang w:eastAsia="zh-CN"/>
              </w:rPr>
            </w:pPr>
            <w:r>
              <w:rPr>
                <w:rFonts w:hint="default" w:ascii="Times New Roman" w:hAnsi="Times New Roman" w:eastAsia="仿宋_GB2312" w:cs="Times New Roman"/>
                <w:color w:val="auto"/>
                <w:sz w:val="30"/>
                <w:szCs w:val="30"/>
                <w:lang w:eastAsia="zh-CN"/>
              </w:rPr>
              <w:t>（1）本项目按照要求编报了水土保持方案，工程无重大变更，水土保持方案报批手续完备；</w:t>
            </w:r>
          </w:p>
          <w:p>
            <w:pPr>
              <w:snapToGrid w:val="0"/>
              <w:spacing w:line="560" w:lineRule="exact"/>
              <w:ind w:firstLine="600" w:firstLineChars="200"/>
              <w:rPr>
                <w:rFonts w:hint="default" w:ascii="Times New Roman" w:hAnsi="Times New Roman" w:eastAsia="仿宋_GB2312" w:cs="Times New Roman"/>
                <w:color w:val="auto"/>
                <w:sz w:val="30"/>
                <w:szCs w:val="30"/>
                <w:lang w:eastAsia="zh-CN"/>
              </w:rPr>
            </w:pPr>
            <w:r>
              <w:rPr>
                <w:rFonts w:hint="default" w:ascii="Times New Roman" w:hAnsi="Times New Roman" w:eastAsia="仿宋_GB2312" w:cs="Times New Roman"/>
                <w:color w:val="auto"/>
                <w:sz w:val="30"/>
                <w:szCs w:val="30"/>
                <w:lang w:eastAsia="zh-CN"/>
              </w:rPr>
              <w:t>（2）水土保持设施验收报告等资料较齐，成果可靠；</w:t>
            </w:r>
          </w:p>
          <w:p>
            <w:pPr>
              <w:snapToGrid w:val="0"/>
              <w:spacing w:line="560" w:lineRule="exact"/>
              <w:ind w:firstLine="600" w:firstLineChars="200"/>
              <w:rPr>
                <w:rFonts w:hint="default" w:ascii="Times New Roman" w:hAnsi="Times New Roman" w:eastAsia="仿宋_GB2312" w:cs="Times New Roman"/>
                <w:color w:val="auto"/>
                <w:sz w:val="30"/>
                <w:szCs w:val="30"/>
                <w:lang w:eastAsia="zh-CN"/>
              </w:rPr>
            </w:pPr>
            <w:r>
              <w:rPr>
                <w:rFonts w:hint="default" w:ascii="Times New Roman" w:hAnsi="Times New Roman" w:eastAsia="仿宋_GB2312" w:cs="Times New Roman"/>
                <w:color w:val="auto"/>
                <w:sz w:val="30"/>
                <w:szCs w:val="30"/>
                <w:lang w:eastAsia="zh-CN"/>
              </w:rPr>
              <w:t>（3）水土保持措施体系、等级和标准基本上按照批准的水土保持方案要求进行落实；</w:t>
            </w:r>
          </w:p>
          <w:p>
            <w:pPr>
              <w:snapToGrid w:val="0"/>
              <w:spacing w:line="560" w:lineRule="exact"/>
              <w:ind w:firstLine="600" w:firstLineChars="200"/>
              <w:rPr>
                <w:rFonts w:hint="default" w:ascii="Times New Roman" w:hAnsi="Times New Roman" w:eastAsia="仿宋_GB2312" w:cs="Times New Roman"/>
                <w:color w:val="auto"/>
                <w:sz w:val="30"/>
                <w:szCs w:val="30"/>
                <w:lang w:eastAsia="zh-CN"/>
              </w:rPr>
            </w:pPr>
            <w:r>
              <w:rPr>
                <w:rFonts w:hint="default" w:ascii="Times New Roman" w:hAnsi="Times New Roman" w:eastAsia="仿宋_GB2312" w:cs="Times New Roman"/>
                <w:color w:val="auto"/>
                <w:sz w:val="30"/>
                <w:szCs w:val="30"/>
                <w:lang w:eastAsia="zh-CN"/>
              </w:rPr>
              <w:t>（4）水土流失防治指标达到了经批准的水土保持方案要求；</w:t>
            </w:r>
          </w:p>
          <w:p>
            <w:pPr>
              <w:snapToGrid w:val="0"/>
              <w:spacing w:line="560" w:lineRule="exact"/>
              <w:ind w:firstLine="600" w:firstLineChars="200"/>
              <w:rPr>
                <w:rFonts w:hint="default" w:ascii="Times New Roman" w:hAnsi="Times New Roman" w:eastAsia="仿宋_GB2312" w:cs="Times New Roman"/>
                <w:color w:val="auto"/>
                <w:sz w:val="30"/>
                <w:szCs w:val="30"/>
                <w:lang w:eastAsia="zh-CN"/>
              </w:rPr>
            </w:pPr>
            <w:r>
              <w:rPr>
                <w:rFonts w:hint="default" w:ascii="Times New Roman" w:hAnsi="Times New Roman" w:eastAsia="仿宋_GB2312" w:cs="Times New Roman"/>
                <w:color w:val="auto"/>
                <w:sz w:val="30"/>
                <w:szCs w:val="30"/>
                <w:lang w:eastAsia="zh-CN"/>
              </w:rPr>
              <w:t>（5）水土保持设施质量全部为合格；</w:t>
            </w:r>
          </w:p>
          <w:p>
            <w:pPr>
              <w:snapToGrid w:val="0"/>
              <w:spacing w:line="560" w:lineRule="exact"/>
              <w:ind w:firstLine="600" w:firstLineChars="200"/>
              <w:rPr>
                <w:rFonts w:hint="default" w:ascii="Times New Roman" w:hAnsi="Times New Roman" w:eastAsia="仿宋_GB2312" w:cs="Times New Roman"/>
                <w:color w:val="auto"/>
                <w:sz w:val="30"/>
                <w:szCs w:val="30"/>
                <w:lang w:eastAsia="zh-CN"/>
              </w:rPr>
            </w:pPr>
            <w:r>
              <w:rPr>
                <w:rFonts w:hint="default" w:ascii="Times New Roman" w:hAnsi="Times New Roman" w:eastAsia="仿宋_GB2312" w:cs="Times New Roman"/>
                <w:color w:val="auto"/>
                <w:sz w:val="30"/>
                <w:szCs w:val="30"/>
                <w:lang w:eastAsia="zh-CN"/>
              </w:rPr>
              <w:t>（6）本项目依法依规缴纳了水土保持补偿费；</w:t>
            </w:r>
          </w:p>
          <w:p>
            <w:pPr>
              <w:snapToGrid w:val="0"/>
              <w:spacing w:line="560" w:lineRule="exact"/>
              <w:ind w:firstLine="600" w:firstLineChars="200"/>
              <w:rPr>
                <w:rFonts w:hint="default" w:ascii="Times New Roman" w:hAnsi="Times New Roman" w:eastAsia="仿宋_GB2312" w:cs="Times New Roman"/>
                <w:color w:val="auto"/>
                <w:sz w:val="30"/>
                <w:szCs w:val="30"/>
                <w:lang w:eastAsia="zh-CN"/>
              </w:rPr>
            </w:pPr>
            <w:r>
              <w:rPr>
                <w:rFonts w:hint="default" w:ascii="Times New Roman" w:hAnsi="Times New Roman" w:eastAsia="仿宋_GB2312" w:cs="Times New Roman"/>
                <w:color w:val="auto"/>
                <w:sz w:val="30"/>
                <w:szCs w:val="30"/>
                <w:lang w:eastAsia="zh-CN"/>
              </w:rPr>
              <w:t>（7）本项目不存在其它不符合相关法律法规规定情形；</w:t>
            </w:r>
          </w:p>
          <w:p>
            <w:pPr>
              <w:snapToGrid w:val="0"/>
              <w:spacing w:line="560" w:lineRule="exact"/>
              <w:ind w:firstLine="600" w:firstLineChars="200"/>
              <w:rPr>
                <w:rFonts w:hint="default" w:ascii="Times New Roman" w:hAnsi="Times New Roman" w:eastAsia="仿宋_GB2312" w:cs="Times New Roman"/>
                <w:color w:val="auto"/>
                <w:sz w:val="30"/>
                <w:szCs w:val="30"/>
                <w:lang w:eastAsia="zh-CN"/>
              </w:rPr>
            </w:pPr>
            <w:r>
              <w:rPr>
                <w:rFonts w:hint="default" w:ascii="Times New Roman" w:hAnsi="Times New Roman" w:eastAsia="仿宋_GB2312" w:cs="Times New Roman"/>
                <w:color w:val="auto"/>
                <w:sz w:val="30"/>
                <w:szCs w:val="30"/>
                <w:lang w:eastAsia="zh-CN"/>
              </w:rPr>
              <w:t>（8）水土保持设施运行正常，满足交付使用条件。</w:t>
            </w:r>
          </w:p>
          <w:p>
            <w:pPr>
              <w:snapToGrid w:val="0"/>
              <w:spacing w:line="560" w:lineRule="exact"/>
              <w:ind w:firstLine="600" w:firstLineChars="200"/>
              <w:rPr>
                <w:rFonts w:hint="default" w:ascii="Times New Roman" w:hAnsi="Times New Roman" w:eastAsia="仿宋_GB2312" w:cs="Times New Roman"/>
                <w:sz w:val="30"/>
                <w:szCs w:val="30"/>
                <w:lang w:eastAsia="zh-CN"/>
              </w:rPr>
            </w:pPr>
            <w:r>
              <w:rPr>
                <w:rFonts w:hint="default" w:ascii="Times New Roman" w:hAnsi="Times New Roman" w:eastAsia="仿宋_GB2312" w:cs="Times New Roman"/>
                <w:color w:val="auto"/>
                <w:sz w:val="30"/>
                <w:szCs w:val="30"/>
                <w:lang w:eastAsia="zh-CN"/>
              </w:rPr>
              <w:t>综上，该项目水土保持设施满足验收条件，同意该项目水土保持设施通过验收</w:t>
            </w:r>
            <w:r>
              <w:rPr>
                <w:rFonts w:hint="default" w:ascii="Times New Roman" w:hAnsi="Times New Roman" w:eastAsia="仿宋_GB2312" w:cs="Times New Roman"/>
                <w:sz w:val="30"/>
                <w:szCs w:val="30"/>
                <w:lang w:eastAsia="zh-CN"/>
              </w:rPr>
              <w:t>。</w:t>
            </w:r>
          </w:p>
          <w:p>
            <w:pPr>
              <w:snapToGrid w:val="0"/>
              <w:spacing w:line="560" w:lineRule="exact"/>
              <w:ind w:firstLine="600" w:firstLineChars="200"/>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lang w:eastAsia="zh-CN"/>
              </w:rPr>
              <w:t>（七）后续管护要求</w:t>
            </w:r>
          </w:p>
          <w:p>
            <w:pPr>
              <w:snapToGrid w:val="0"/>
              <w:spacing w:line="560" w:lineRule="exact"/>
              <w:ind w:firstLine="600" w:firstLineChars="200"/>
              <w:rPr>
                <w:rFonts w:hint="default" w:ascii="Times New Roman" w:hAnsi="Times New Roman" w:eastAsia="仿宋_GB2312" w:cs="Times New Roman"/>
                <w:sz w:val="30"/>
                <w:szCs w:val="30"/>
                <w:lang w:eastAsia="zh-CN"/>
              </w:rPr>
            </w:pPr>
            <w:r>
              <w:rPr>
                <w:rFonts w:hint="default" w:ascii="Times New Roman" w:hAnsi="Times New Roman" w:eastAsia="仿宋_GB2312" w:cs="Times New Roman"/>
                <w:sz w:val="30"/>
                <w:szCs w:val="30"/>
                <w:lang w:eastAsia="zh-CN"/>
              </w:rPr>
              <w:t>建设单位应定期对排水沟、沉沙池进行清淤，确保排水设施畅通，加强植被的抚育管理，适时补植林草植被，确保其水土保持功能的持续性和有效性，切实发挥其防治水土流失的作用。</w:t>
            </w:r>
          </w:p>
          <w:p>
            <w:pPr>
              <w:wordWrap w:val="0"/>
              <w:bidi w:val="0"/>
              <w:jc w:val="right"/>
              <w:rPr>
                <w:rFonts w:hint="default" w:ascii="Times New Roman" w:hAnsi="Times New Roman" w:eastAsia="仿宋_GB2312" w:cs="Times New Roman"/>
                <w:sz w:val="30"/>
                <w:szCs w:val="30"/>
                <w:lang w:val="en-US" w:eastAsia="zh-CN"/>
              </w:rPr>
            </w:pPr>
          </w:p>
          <w:p>
            <w:pPr>
              <w:wordWrap w:val="0"/>
              <w:bidi w:val="0"/>
              <w:jc w:val="right"/>
              <w:rPr>
                <w:rFonts w:hint="default" w:ascii="Times New Roman" w:hAnsi="Times New Roman" w:eastAsia="仿宋_GB2312" w:cs="Times New Roman"/>
                <w:sz w:val="30"/>
                <w:szCs w:val="30"/>
                <w:lang w:val="en-US" w:eastAsia="zh-CN"/>
              </w:rPr>
            </w:pPr>
            <w:r>
              <w:rPr>
                <w:rFonts w:hint="default" w:ascii="Times New Roman" w:hAnsi="Times New Roman" w:eastAsia="仿宋_GB2312" w:cs="Times New Roman"/>
                <w:sz w:val="30"/>
                <w:szCs w:val="30"/>
                <w:lang w:val="en-US" w:eastAsia="zh-CN"/>
              </w:rPr>
              <w:t xml:space="preserve">            </w:t>
            </w:r>
          </w:p>
          <w:p>
            <w:pPr>
              <w:pStyle w:val="3"/>
              <w:rPr>
                <w:rFonts w:hint="default" w:ascii="Times New Roman" w:hAnsi="Times New Roman" w:eastAsia="仿宋_GB2312" w:cs="Times New Roman"/>
                <w:sz w:val="30"/>
                <w:szCs w:val="30"/>
                <w:lang w:val="en-US" w:eastAsia="zh-CN"/>
              </w:rPr>
            </w:pPr>
            <w:r>
              <w:rPr>
                <w:rFonts w:hint="default" w:ascii="Times New Roman" w:hAnsi="Times New Roman" w:eastAsia="仿宋_GB2312" w:cs="Times New Roman"/>
                <w:sz w:val="30"/>
                <w:szCs w:val="30"/>
                <w:lang w:val="en-US" w:eastAsia="zh-CN"/>
              </w:rPr>
              <w:t xml:space="preserve">                               </w:t>
            </w:r>
          </w:p>
          <w:p>
            <w:pPr>
              <w:rPr>
                <w:rFonts w:hint="default" w:ascii="Times New Roman" w:hAnsi="Times New Roman" w:eastAsia="仿宋_GB2312" w:cs="Times New Roman"/>
                <w:sz w:val="28"/>
                <w:szCs w:val="28"/>
                <w:lang w:val="en-US" w:eastAsia="zh-CN"/>
              </w:rPr>
            </w:pPr>
            <w:r>
              <w:rPr>
                <w:rFonts w:hint="default" w:ascii="Times New Roman" w:hAnsi="Times New Roman" w:eastAsia="仿宋_GB2312" w:cs="Times New Roman"/>
                <w:sz w:val="28"/>
                <w:szCs w:val="28"/>
                <w:lang w:val="en-US" w:eastAsia="zh-CN"/>
              </w:rPr>
              <w:t xml:space="preserve">  </w:t>
            </w:r>
          </w:p>
        </w:tc>
      </w:tr>
    </w:tbl>
    <w:p>
      <w:pPr>
        <w:outlineLvl w:val="0"/>
        <w:rPr>
          <w:rFonts w:hint="default" w:ascii="Times New Roman" w:hAnsi="Times New Roman" w:eastAsia="仿宋_GB2312" w:cs="Times New Roman"/>
          <w:sz w:val="28"/>
          <w:szCs w:val="28"/>
        </w:rPr>
      </w:pPr>
      <w:r>
        <w:rPr>
          <w:rFonts w:hint="default" w:ascii="Times New Roman" w:hAnsi="Times New Roman" w:eastAsia="仿宋_GB2312" w:cs="Times New Roman"/>
          <w:sz w:val="30"/>
          <w:szCs w:val="30"/>
        </w:rPr>
        <w:br w:type="page"/>
      </w:r>
    </w:p>
    <w:p>
      <w:pPr>
        <w:outlineLvl w:val="0"/>
        <w:rPr>
          <w:rFonts w:hint="eastAsia" w:ascii="Times New Roman" w:hAnsi="Times New Roman" w:eastAsia="仿宋_GB2312" w:cs="Times New Roman"/>
          <w:sz w:val="24"/>
          <w:szCs w:val="24"/>
          <w:lang w:eastAsia="zh-CN"/>
        </w:rPr>
      </w:pPr>
    </w:p>
    <w:p>
      <w:pPr>
        <w:outlineLvl w:val="0"/>
        <w:rPr>
          <w:rFonts w:hint="eastAsia"/>
          <w:lang w:val="en-US" w:eastAsia="zh-CN"/>
        </w:rPr>
      </w:pPr>
      <w:r>
        <w:rPr>
          <w:rFonts w:hint="default" w:ascii="Times New Roman" w:hAnsi="Times New Roman" w:eastAsia="仿宋_GB2312" w:cs="Times New Roman"/>
          <w:sz w:val="24"/>
          <w:szCs w:val="24"/>
        </w:rPr>
        <w:drawing>
          <wp:inline distT="0" distB="0" distL="114300" distR="114300">
            <wp:extent cx="5755005" cy="8141335"/>
            <wp:effectExtent l="0" t="0" r="17145" b="12065"/>
            <wp:docPr id="1" name="图片 1" descr="五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五福"/>
                    <pic:cNvPicPr>
                      <a:picLocks noChangeAspect="1"/>
                    </pic:cNvPicPr>
                  </pic:nvPicPr>
                  <pic:blipFill>
                    <a:blip r:embed="rId5"/>
                    <a:stretch>
                      <a:fillRect/>
                    </a:stretch>
                  </pic:blipFill>
                  <pic:spPr>
                    <a:xfrm>
                      <a:off x="0" y="0"/>
                      <a:ext cx="5755005" cy="8141335"/>
                    </a:xfrm>
                    <a:prstGeom prst="rect">
                      <a:avLst/>
                    </a:prstGeom>
                  </pic:spPr>
                </pic:pic>
              </a:graphicData>
            </a:graphic>
          </wp:inline>
        </w:drawing>
      </w:r>
      <w:r>
        <w:rPr>
          <w:rFonts w:hint="default" w:ascii="Times New Roman" w:hAnsi="Times New Roman" w:eastAsia="仿宋_GB2312" w:cs="Times New Roman"/>
          <w:sz w:val="24"/>
          <w:szCs w:val="24"/>
        </w:rPr>
        <w:br w:type="textWrapping"/>
      </w:r>
      <w:bookmarkStart w:id="0" w:name="_GoBack"/>
      <w:bookmarkEnd w:id="0"/>
    </w:p>
    <w:sectPr>
      <w:footerReference r:id="rId3" w:type="default"/>
      <w:pgSz w:w="11906" w:h="16838"/>
      <w:pgMar w:top="1440" w:right="1417" w:bottom="1440"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_GB2312">
    <w:panose1 w:val="02010609030101010101"/>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465645869"/>
      <w:showingPlcHdr/>
    </w:sdtPr>
    <w:sdtEndPr>
      <w:rPr>
        <w:sz w:val="21"/>
        <w:szCs w:val="21"/>
      </w:rPr>
    </w:sdtEndPr>
    <w:sdtContent>
      <w:p>
        <w:pPr>
          <w:pStyle w:val="9"/>
          <w:jc w:val="center"/>
        </w:pPr>
      </w:p>
    </w:sdtContent>
  </w:sdt>
  <w:p>
    <w:pPr>
      <w:pStyle w:val="9"/>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02B8"/>
    <w:rsid w:val="00002F3E"/>
    <w:rsid w:val="00011D76"/>
    <w:rsid w:val="00022A6D"/>
    <w:rsid w:val="00040743"/>
    <w:rsid w:val="000709AA"/>
    <w:rsid w:val="00082658"/>
    <w:rsid w:val="00082978"/>
    <w:rsid w:val="0009074A"/>
    <w:rsid w:val="000A3CB8"/>
    <w:rsid w:val="000B7C43"/>
    <w:rsid w:val="000C0EF2"/>
    <w:rsid w:val="000C2F1E"/>
    <w:rsid w:val="000C4BC1"/>
    <w:rsid w:val="000D5333"/>
    <w:rsid w:val="000E02D2"/>
    <w:rsid w:val="000F7719"/>
    <w:rsid w:val="00121F26"/>
    <w:rsid w:val="00123B43"/>
    <w:rsid w:val="00124563"/>
    <w:rsid w:val="001425D8"/>
    <w:rsid w:val="0014450C"/>
    <w:rsid w:val="00147D1F"/>
    <w:rsid w:val="0015092B"/>
    <w:rsid w:val="001557A9"/>
    <w:rsid w:val="00156391"/>
    <w:rsid w:val="00163519"/>
    <w:rsid w:val="0018135F"/>
    <w:rsid w:val="001A17F8"/>
    <w:rsid w:val="001A2D66"/>
    <w:rsid w:val="001A4031"/>
    <w:rsid w:val="001B2EF1"/>
    <w:rsid w:val="001B52B1"/>
    <w:rsid w:val="001C6048"/>
    <w:rsid w:val="001F0BBA"/>
    <w:rsid w:val="001F3CFD"/>
    <w:rsid w:val="00203374"/>
    <w:rsid w:val="00214665"/>
    <w:rsid w:val="002333EE"/>
    <w:rsid w:val="00272047"/>
    <w:rsid w:val="002904B6"/>
    <w:rsid w:val="00294EC7"/>
    <w:rsid w:val="00295E36"/>
    <w:rsid w:val="0029689C"/>
    <w:rsid w:val="002B34F6"/>
    <w:rsid w:val="002F4E04"/>
    <w:rsid w:val="002F5156"/>
    <w:rsid w:val="002F5B2C"/>
    <w:rsid w:val="00304C23"/>
    <w:rsid w:val="003062B4"/>
    <w:rsid w:val="003269C3"/>
    <w:rsid w:val="00350033"/>
    <w:rsid w:val="003813AF"/>
    <w:rsid w:val="00394DC6"/>
    <w:rsid w:val="00395B9D"/>
    <w:rsid w:val="003B7AE3"/>
    <w:rsid w:val="004503A8"/>
    <w:rsid w:val="004C1255"/>
    <w:rsid w:val="004E6602"/>
    <w:rsid w:val="004F1014"/>
    <w:rsid w:val="004F7EF3"/>
    <w:rsid w:val="005071BA"/>
    <w:rsid w:val="00526350"/>
    <w:rsid w:val="005618F5"/>
    <w:rsid w:val="00564257"/>
    <w:rsid w:val="00567BCA"/>
    <w:rsid w:val="00586F6C"/>
    <w:rsid w:val="00590CF7"/>
    <w:rsid w:val="005B1FE3"/>
    <w:rsid w:val="005B795A"/>
    <w:rsid w:val="005C0C1C"/>
    <w:rsid w:val="005D566F"/>
    <w:rsid w:val="005E772C"/>
    <w:rsid w:val="0060650B"/>
    <w:rsid w:val="0060686A"/>
    <w:rsid w:val="006136AF"/>
    <w:rsid w:val="006141A1"/>
    <w:rsid w:val="00630F38"/>
    <w:rsid w:val="00640D60"/>
    <w:rsid w:val="00645348"/>
    <w:rsid w:val="0064792E"/>
    <w:rsid w:val="00664455"/>
    <w:rsid w:val="006762DB"/>
    <w:rsid w:val="006856B0"/>
    <w:rsid w:val="006A1541"/>
    <w:rsid w:val="006B60C4"/>
    <w:rsid w:val="006F63D4"/>
    <w:rsid w:val="006F78CB"/>
    <w:rsid w:val="006F79E9"/>
    <w:rsid w:val="00712BD3"/>
    <w:rsid w:val="00721B32"/>
    <w:rsid w:val="00760C48"/>
    <w:rsid w:val="00761820"/>
    <w:rsid w:val="00774542"/>
    <w:rsid w:val="00784C91"/>
    <w:rsid w:val="007867BF"/>
    <w:rsid w:val="007A5EC0"/>
    <w:rsid w:val="007D3927"/>
    <w:rsid w:val="007D6536"/>
    <w:rsid w:val="0085376D"/>
    <w:rsid w:val="00882EF7"/>
    <w:rsid w:val="008904A3"/>
    <w:rsid w:val="00892D8B"/>
    <w:rsid w:val="008B5B80"/>
    <w:rsid w:val="008B64C3"/>
    <w:rsid w:val="008C3EDA"/>
    <w:rsid w:val="008E6DE6"/>
    <w:rsid w:val="00917CF2"/>
    <w:rsid w:val="00927C08"/>
    <w:rsid w:val="0093058E"/>
    <w:rsid w:val="009315A3"/>
    <w:rsid w:val="00942D44"/>
    <w:rsid w:val="00953906"/>
    <w:rsid w:val="00960422"/>
    <w:rsid w:val="00977DA1"/>
    <w:rsid w:val="00986992"/>
    <w:rsid w:val="009D124B"/>
    <w:rsid w:val="009E2926"/>
    <w:rsid w:val="009E2EC8"/>
    <w:rsid w:val="009F16F3"/>
    <w:rsid w:val="009F7A2E"/>
    <w:rsid w:val="00A01381"/>
    <w:rsid w:val="00A02338"/>
    <w:rsid w:val="00A332B3"/>
    <w:rsid w:val="00A45A17"/>
    <w:rsid w:val="00A81FFC"/>
    <w:rsid w:val="00AC7F71"/>
    <w:rsid w:val="00AE061F"/>
    <w:rsid w:val="00AF1409"/>
    <w:rsid w:val="00B05A8C"/>
    <w:rsid w:val="00B07F3D"/>
    <w:rsid w:val="00B137CF"/>
    <w:rsid w:val="00B13914"/>
    <w:rsid w:val="00B30E01"/>
    <w:rsid w:val="00B52C90"/>
    <w:rsid w:val="00B55BED"/>
    <w:rsid w:val="00B606FF"/>
    <w:rsid w:val="00B65F8F"/>
    <w:rsid w:val="00B731B2"/>
    <w:rsid w:val="00B76988"/>
    <w:rsid w:val="00B8444C"/>
    <w:rsid w:val="00BB7AEA"/>
    <w:rsid w:val="00BD5FEB"/>
    <w:rsid w:val="00BE235B"/>
    <w:rsid w:val="00BF09F1"/>
    <w:rsid w:val="00BF4FDA"/>
    <w:rsid w:val="00BF6E1D"/>
    <w:rsid w:val="00C019D2"/>
    <w:rsid w:val="00C55875"/>
    <w:rsid w:val="00C858BC"/>
    <w:rsid w:val="00C966C3"/>
    <w:rsid w:val="00CA63FD"/>
    <w:rsid w:val="00CB547A"/>
    <w:rsid w:val="00CC7D8D"/>
    <w:rsid w:val="00CD17F8"/>
    <w:rsid w:val="00CD3DEE"/>
    <w:rsid w:val="00CD5FCD"/>
    <w:rsid w:val="00CE15EB"/>
    <w:rsid w:val="00CF1C8B"/>
    <w:rsid w:val="00D21AC2"/>
    <w:rsid w:val="00D42B3D"/>
    <w:rsid w:val="00D83F20"/>
    <w:rsid w:val="00DA1C36"/>
    <w:rsid w:val="00DB5B10"/>
    <w:rsid w:val="00DC34FB"/>
    <w:rsid w:val="00DC3EA9"/>
    <w:rsid w:val="00DD5EF8"/>
    <w:rsid w:val="00DD6687"/>
    <w:rsid w:val="00DD7A57"/>
    <w:rsid w:val="00DE7761"/>
    <w:rsid w:val="00DF095B"/>
    <w:rsid w:val="00E233E6"/>
    <w:rsid w:val="00E23E35"/>
    <w:rsid w:val="00E5650E"/>
    <w:rsid w:val="00E65AB8"/>
    <w:rsid w:val="00E74FC4"/>
    <w:rsid w:val="00E85631"/>
    <w:rsid w:val="00E961F3"/>
    <w:rsid w:val="00EA46E2"/>
    <w:rsid w:val="00EA6245"/>
    <w:rsid w:val="00EE3078"/>
    <w:rsid w:val="00EE5717"/>
    <w:rsid w:val="00F05463"/>
    <w:rsid w:val="00F3144E"/>
    <w:rsid w:val="00F462B4"/>
    <w:rsid w:val="00F46EFB"/>
    <w:rsid w:val="00F55F75"/>
    <w:rsid w:val="00F702B8"/>
    <w:rsid w:val="00F75FEC"/>
    <w:rsid w:val="00F845EC"/>
    <w:rsid w:val="00FC5A87"/>
    <w:rsid w:val="00FD30B7"/>
    <w:rsid w:val="07E825BB"/>
    <w:rsid w:val="09FC2645"/>
    <w:rsid w:val="0A410A0B"/>
    <w:rsid w:val="0D5E0E82"/>
    <w:rsid w:val="0DEB56B0"/>
    <w:rsid w:val="0EDF3E41"/>
    <w:rsid w:val="0EE61962"/>
    <w:rsid w:val="0F5F1B68"/>
    <w:rsid w:val="0FFC7FDA"/>
    <w:rsid w:val="10103865"/>
    <w:rsid w:val="10143155"/>
    <w:rsid w:val="10D44043"/>
    <w:rsid w:val="112D3617"/>
    <w:rsid w:val="116114EB"/>
    <w:rsid w:val="11902316"/>
    <w:rsid w:val="125A0ED5"/>
    <w:rsid w:val="151024D2"/>
    <w:rsid w:val="15ED418E"/>
    <w:rsid w:val="16DA5820"/>
    <w:rsid w:val="19987176"/>
    <w:rsid w:val="1DF4555D"/>
    <w:rsid w:val="1EA33F59"/>
    <w:rsid w:val="226551FB"/>
    <w:rsid w:val="22FC3291"/>
    <w:rsid w:val="253B7BF6"/>
    <w:rsid w:val="25DA0B1E"/>
    <w:rsid w:val="28687287"/>
    <w:rsid w:val="2A162131"/>
    <w:rsid w:val="2F2668FE"/>
    <w:rsid w:val="2F9E3737"/>
    <w:rsid w:val="30774076"/>
    <w:rsid w:val="30A46A77"/>
    <w:rsid w:val="310339CB"/>
    <w:rsid w:val="32604DA4"/>
    <w:rsid w:val="32755446"/>
    <w:rsid w:val="33576819"/>
    <w:rsid w:val="3480063A"/>
    <w:rsid w:val="34EA0D5D"/>
    <w:rsid w:val="358A245B"/>
    <w:rsid w:val="368A3B5B"/>
    <w:rsid w:val="38126C10"/>
    <w:rsid w:val="3AD85039"/>
    <w:rsid w:val="3D4C5514"/>
    <w:rsid w:val="3FC544D7"/>
    <w:rsid w:val="40B84A47"/>
    <w:rsid w:val="41DC1E7A"/>
    <w:rsid w:val="43B1748E"/>
    <w:rsid w:val="43B873C2"/>
    <w:rsid w:val="47E345A2"/>
    <w:rsid w:val="4B497E36"/>
    <w:rsid w:val="516931C6"/>
    <w:rsid w:val="51733C07"/>
    <w:rsid w:val="517E2DC9"/>
    <w:rsid w:val="51CC6B8D"/>
    <w:rsid w:val="52B503DE"/>
    <w:rsid w:val="54871BB9"/>
    <w:rsid w:val="54AE625D"/>
    <w:rsid w:val="578A1519"/>
    <w:rsid w:val="5AAA1526"/>
    <w:rsid w:val="5B7177C0"/>
    <w:rsid w:val="5BDD6EAB"/>
    <w:rsid w:val="5BE13F3E"/>
    <w:rsid w:val="5C777B12"/>
    <w:rsid w:val="5CBA6CDE"/>
    <w:rsid w:val="5CC377EB"/>
    <w:rsid w:val="5CFC1731"/>
    <w:rsid w:val="6029539C"/>
    <w:rsid w:val="61574337"/>
    <w:rsid w:val="61B667D3"/>
    <w:rsid w:val="61F733A6"/>
    <w:rsid w:val="62705B74"/>
    <w:rsid w:val="628375EC"/>
    <w:rsid w:val="63650325"/>
    <w:rsid w:val="638D2B24"/>
    <w:rsid w:val="65336899"/>
    <w:rsid w:val="663D530E"/>
    <w:rsid w:val="67324A09"/>
    <w:rsid w:val="69163354"/>
    <w:rsid w:val="699B1B96"/>
    <w:rsid w:val="6BCC78CE"/>
    <w:rsid w:val="6C6E77DB"/>
    <w:rsid w:val="6DF32648"/>
    <w:rsid w:val="6E782EC4"/>
    <w:rsid w:val="6FB90AD6"/>
    <w:rsid w:val="70897999"/>
    <w:rsid w:val="71594709"/>
    <w:rsid w:val="7481619E"/>
    <w:rsid w:val="74A076BB"/>
    <w:rsid w:val="7587012F"/>
    <w:rsid w:val="778C1C90"/>
    <w:rsid w:val="77BB13E2"/>
    <w:rsid w:val="77D00B97"/>
    <w:rsid w:val="79EE763B"/>
    <w:rsid w:val="7A5416CA"/>
    <w:rsid w:val="7DC30A6D"/>
    <w:rsid w:val="7E8D0BE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qFormat="1"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4">
    <w:name w:val="heading 1"/>
    <w:basedOn w:val="1"/>
    <w:next w:val="1"/>
    <w:link w:val="17"/>
    <w:qFormat/>
    <w:uiPriority w:val="0"/>
    <w:pPr>
      <w:keepNext/>
      <w:keepLines/>
      <w:snapToGrid w:val="0"/>
      <w:spacing w:line="360" w:lineRule="auto"/>
      <w:ind w:firstLine="640" w:firstLineChars="200"/>
      <w:jc w:val="left"/>
      <w:outlineLvl w:val="0"/>
    </w:pPr>
    <w:rPr>
      <w:rFonts w:ascii="黑体" w:hAnsi="黑体" w:eastAsia="黑体" w:cs="Times New Roman"/>
      <w:bCs/>
      <w:kern w:val="44"/>
      <w:sz w:val="32"/>
      <w:szCs w:val="32"/>
    </w:rPr>
  </w:style>
  <w:style w:type="character" w:default="1" w:styleId="14">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customStyle="1" w:styleId="2">
    <w:name w:val="章标题"/>
    <w:basedOn w:val="1"/>
    <w:next w:val="3"/>
    <w:qFormat/>
    <w:uiPriority w:val="0"/>
    <w:pPr>
      <w:widowControl/>
      <w:spacing w:line="323" w:lineRule="atLeast"/>
      <w:ind w:right="-120"/>
      <w:jc w:val="center"/>
      <w:textAlignment w:val="baseline"/>
    </w:pPr>
    <w:rPr>
      <w:color w:val="FF0000"/>
      <w:kern w:val="0"/>
      <w:sz w:val="18"/>
      <w:szCs w:val="18"/>
    </w:rPr>
  </w:style>
  <w:style w:type="paragraph" w:customStyle="1" w:styleId="3">
    <w:name w:val="节标题"/>
    <w:basedOn w:val="1"/>
    <w:next w:val="1"/>
    <w:qFormat/>
    <w:uiPriority w:val="0"/>
    <w:pPr>
      <w:widowControl/>
      <w:spacing w:line="289" w:lineRule="atLeast"/>
      <w:jc w:val="center"/>
      <w:textAlignment w:val="baseline"/>
    </w:pPr>
    <w:rPr>
      <w:color w:val="000000"/>
      <w:kern w:val="0"/>
      <w:sz w:val="28"/>
      <w:szCs w:val="20"/>
      <w:u w:color="000000"/>
    </w:rPr>
  </w:style>
  <w:style w:type="paragraph" w:styleId="5">
    <w:name w:val="Document Map"/>
    <w:basedOn w:val="1"/>
    <w:link w:val="22"/>
    <w:semiHidden/>
    <w:unhideWhenUsed/>
    <w:qFormat/>
    <w:uiPriority w:val="99"/>
    <w:rPr>
      <w:rFonts w:ascii="宋体" w:eastAsia="宋体"/>
      <w:sz w:val="18"/>
      <w:szCs w:val="18"/>
    </w:rPr>
  </w:style>
  <w:style w:type="paragraph" w:styleId="6">
    <w:name w:val="annotation text"/>
    <w:basedOn w:val="1"/>
    <w:link w:val="23"/>
    <w:semiHidden/>
    <w:unhideWhenUsed/>
    <w:qFormat/>
    <w:uiPriority w:val="99"/>
    <w:pPr>
      <w:jc w:val="left"/>
    </w:pPr>
  </w:style>
  <w:style w:type="paragraph" w:styleId="7">
    <w:name w:val="Body Text Indent"/>
    <w:basedOn w:val="1"/>
    <w:link w:val="18"/>
    <w:qFormat/>
    <w:uiPriority w:val="0"/>
    <w:pPr>
      <w:widowControl/>
      <w:ind w:firstLine="675"/>
    </w:pPr>
    <w:rPr>
      <w:rFonts w:eastAsia="宋体"/>
      <w:sz w:val="28"/>
      <w:szCs w:val="28"/>
    </w:rPr>
  </w:style>
  <w:style w:type="paragraph" w:styleId="8">
    <w:name w:val="Balloon Text"/>
    <w:basedOn w:val="1"/>
    <w:link w:val="20"/>
    <w:unhideWhenUsed/>
    <w:qFormat/>
    <w:uiPriority w:val="99"/>
    <w:rPr>
      <w:sz w:val="18"/>
      <w:szCs w:val="18"/>
    </w:rPr>
  </w:style>
  <w:style w:type="paragraph" w:styleId="9">
    <w:name w:val="footer"/>
    <w:basedOn w:val="1"/>
    <w:link w:val="19"/>
    <w:unhideWhenUsed/>
    <w:qFormat/>
    <w:uiPriority w:val="99"/>
    <w:pPr>
      <w:tabs>
        <w:tab w:val="center" w:pos="4153"/>
        <w:tab w:val="right" w:pos="8306"/>
      </w:tabs>
      <w:snapToGrid w:val="0"/>
      <w:jc w:val="left"/>
    </w:pPr>
    <w:rPr>
      <w:sz w:val="18"/>
      <w:szCs w:val="18"/>
    </w:rPr>
  </w:style>
  <w:style w:type="paragraph" w:styleId="10">
    <w:name w:val="header"/>
    <w:basedOn w:val="1"/>
    <w:link w:val="21"/>
    <w:unhideWhenUsed/>
    <w:qFormat/>
    <w:uiPriority w:val="99"/>
    <w:pPr>
      <w:pBdr>
        <w:bottom w:val="single" w:color="auto" w:sz="6" w:space="1"/>
      </w:pBdr>
      <w:tabs>
        <w:tab w:val="center" w:pos="4153"/>
        <w:tab w:val="right" w:pos="8306"/>
      </w:tabs>
      <w:snapToGrid w:val="0"/>
      <w:jc w:val="center"/>
    </w:pPr>
    <w:rPr>
      <w:sz w:val="18"/>
      <w:szCs w:val="18"/>
    </w:rPr>
  </w:style>
  <w:style w:type="paragraph" w:styleId="11">
    <w:name w:val="annotation subject"/>
    <w:basedOn w:val="6"/>
    <w:next w:val="6"/>
    <w:link w:val="24"/>
    <w:semiHidden/>
    <w:unhideWhenUsed/>
    <w:qFormat/>
    <w:uiPriority w:val="99"/>
    <w:rPr>
      <w:b/>
      <w:bCs/>
    </w:rPr>
  </w:style>
  <w:style w:type="table" w:styleId="13">
    <w:name w:val="Table Grid"/>
    <w:basedOn w:val="12"/>
    <w:unhideWhenUsed/>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5">
    <w:name w:val="page number"/>
    <w:basedOn w:val="14"/>
    <w:qFormat/>
    <w:uiPriority w:val="0"/>
  </w:style>
  <w:style w:type="character" w:styleId="16">
    <w:name w:val="annotation reference"/>
    <w:basedOn w:val="14"/>
    <w:semiHidden/>
    <w:unhideWhenUsed/>
    <w:qFormat/>
    <w:uiPriority w:val="99"/>
    <w:rPr>
      <w:sz w:val="21"/>
      <w:szCs w:val="21"/>
    </w:rPr>
  </w:style>
  <w:style w:type="character" w:customStyle="1" w:styleId="17">
    <w:name w:val="标题 1 Char"/>
    <w:basedOn w:val="14"/>
    <w:link w:val="4"/>
    <w:qFormat/>
    <w:uiPriority w:val="0"/>
    <w:rPr>
      <w:rFonts w:ascii="黑体" w:hAnsi="黑体" w:eastAsia="黑体" w:cs="Times New Roman"/>
      <w:bCs/>
      <w:kern w:val="44"/>
      <w:sz w:val="32"/>
      <w:szCs w:val="32"/>
    </w:rPr>
  </w:style>
  <w:style w:type="character" w:customStyle="1" w:styleId="18">
    <w:name w:val="正文文本缩进 Char"/>
    <w:basedOn w:val="14"/>
    <w:link w:val="7"/>
    <w:qFormat/>
    <w:uiPriority w:val="0"/>
    <w:rPr>
      <w:rFonts w:eastAsia="宋体"/>
      <w:sz w:val="28"/>
      <w:szCs w:val="28"/>
    </w:rPr>
  </w:style>
  <w:style w:type="character" w:customStyle="1" w:styleId="19">
    <w:name w:val="页脚 Char"/>
    <w:basedOn w:val="14"/>
    <w:link w:val="9"/>
    <w:qFormat/>
    <w:uiPriority w:val="99"/>
    <w:rPr>
      <w:sz w:val="18"/>
      <w:szCs w:val="18"/>
    </w:rPr>
  </w:style>
  <w:style w:type="character" w:customStyle="1" w:styleId="20">
    <w:name w:val="批注框文本 Char"/>
    <w:basedOn w:val="14"/>
    <w:link w:val="8"/>
    <w:semiHidden/>
    <w:qFormat/>
    <w:uiPriority w:val="99"/>
    <w:rPr>
      <w:sz w:val="18"/>
      <w:szCs w:val="18"/>
    </w:rPr>
  </w:style>
  <w:style w:type="character" w:customStyle="1" w:styleId="21">
    <w:name w:val="页眉 Char"/>
    <w:basedOn w:val="14"/>
    <w:link w:val="10"/>
    <w:qFormat/>
    <w:uiPriority w:val="99"/>
    <w:rPr>
      <w:sz w:val="18"/>
      <w:szCs w:val="18"/>
    </w:rPr>
  </w:style>
  <w:style w:type="character" w:customStyle="1" w:styleId="22">
    <w:name w:val="文档结构图 Char"/>
    <w:basedOn w:val="14"/>
    <w:link w:val="5"/>
    <w:semiHidden/>
    <w:qFormat/>
    <w:uiPriority w:val="99"/>
    <w:rPr>
      <w:rFonts w:ascii="宋体" w:eastAsia="宋体"/>
      <w:kern w:val="2"/>
      <w:sz w:val="18"/>
      <w:szCs w:val="18"/>
    </w:rPr>
  </w:style>
  <w:style w:type="character" w:customStyle="1" w:styleId="23">
    <w:name w:val="批注文字 Char"/>
    <w:basedOn w:val="14"/>
    <w:link w:val="6"/>
    <w:semiHidden/>
    <w:qFormat/>
    <w:uiPriority w:val="99"/>
    <w:rPr>
      <w:rFonts w:asciiTheme="minorHAnsi" w:hAnsiTheme="minorHAnsi" w:eastAsiaTheme="minorEastAsia" w:cstheme="minorBidi"/>
      <w:kern w:val="2"/>
      <w:sz w:val="21"/>
      <w:szCs w:val="22"/>
    </w:rPr>
  </w:style>
  <w:style w:type="character" w:customStyle="1" w:styleId="24">
    <w:name w:val="批注主题 Char"/>
    <w:basedOn w:val="23"/>
    <w:link w:val="11"/>
    <w:semiHidden/>
    <w:qFormat/>
    <w:uiPriority w:val="99"/>
    <w:rPr>
      <w:rFonts w:asciiTheme="minorHAnsi" w:hAnsiTheme="minorHAnsi" w:eastAsiaTheme="minorEastAsia" w:cstheme="minorBidi"/>
      <w:b/>
      <w:bCs/>
      <w:kern w:val="2"/>
      <w:sz w:val="21"/>
      <w:szCs w:val="22"/>
    </w:rPr>
  </w:style>
  <w:style w:type="character" w:customStyle="1" w:styleId="25">
    <w:name w:val="样式 小四 蓝色 首行缩进:  0.85 厘米 行距: 多倍行距 1.4 字行 Char"/>
    <w:link w:val="26"/>
    <w:qFormat/>
    <w:uiPriority w:val="0"/>
    <w:rPr>
      <w:rFonts w:cs="宋体"/>
      <w:color w:val="0000FF"/>
      <w:sz w:val="24"/>
      <w:szCs w:val="20"/>
    </w:rPr>
  </w:style>
  <w:style w:type="paragraph" w:customStyle="1" w:styleId="26">
    <w:name w:val="样式 小四 蓝色 首行缩进:  0.85 厘米 行距: 多倍行距 1.4 字行"/>
    <w:basedOn w:val="1"/>
    <w:link w:val="25"/>
    <w:qFormat/>
    <w:uiPriority w:val="0"/>
    <w:pPr>
      <w:spacing w:line="336" w:lineRule="auto"/>
      <w:ind w:firstLine="482"/>
    </w:pPr>
    <w:rPr>
      <w:rFonts w:cs="宋体"/>
      <w:color w:val="0000FF"/>
      <w:sz w:val="24"/>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image" Target="media/image1.tiff"/><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JDC</Company>
  <Pages>8</Pages>
  <Words>557</Words>
  <Characters>3180</Characters>
  <Lines>26</Lines>
  <Paragraphs>7</Paragraphs>
  <TotalTime>8</TotalTime>
  <ScaleCrop>false</ScaleCrop>
  <LinksUpToDate>false</LinksUpToDate>
  <CharactersWithSpaces>3730</CharactersWithSpaces>
  <Application>WPS Office_11.8.6.8810_F1E327BC-269C-435d-A152-05C5408002CA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2018-07-27T06:33:00Z</dcterms:created>
  <dc:creator>LIUYu</dc:creator>
  <cp:lastModifiedBy>南柯一梦</cp:lastModifiedBy>
  <cp:lastPrinted>2017-10-23T01:20:00Z</cp:lastPrinted>
  <dcterms:modified xsi:type="dcterms:W3CDTF">2021-03-26T08:58:13Z</dcterms:modified>
  <cp:revision>65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2052-11.8.6.8810</vt:lpwstr>
  </property>
</Properties>
</file>