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仿宋_GB2312" w:cs="Times New Roman"/>
          <w:sz w:val="32"/>
          <w:szCs w:val="32"/>
        </w:rPr>
      </w:pPr>
    </w:p>
    <w:p>
      <w:pPr>
        <w:jc w:val="right"/>
        <w:rPr>
          <w:rFonts w:hint="default" w:ascii="Times New Roman" w:hAnsi="Times New Roman" w:eastAsia="仿宋_GB2312" w:cs="Times New Roman"/>
        </w:rPr>
      </w:pPr>
    </w:p>
    <w:p>
      <w:pPr>
        <w:rPr>
          <w:rFonts w:hint="default" w:ascii="Times New Roman" w:hAnsi="Times New Roman" w:eastAsia="仿宋_GB2312" w:cs="Times New Roman"/>
        </w:rPr>
      </w:pPr>
    </w:p>
    <w:p>
      <w:pPr>
        <w:jc w:val="center"/>
        <w:rPr>
          <w:rFonts w:hint="eastAsia" w:ascii="黑体" w:hAnsi="黑体" w:eastAsia="黑体" w:cs="黑体"/>
          <w:sz w:val="52"/>
          <w:szCs w:val="52"/>
        </w:rPr>
      </w:pPr>
      <w:r>
        <w:rPr>
          <w:rFonts w:hint="eastAsia" w:ascii="黑体" w:hAnsi="黑体" w:eastAsia="黑体" w:cs="黑体"/>
          <w:sz w:val="52"/>
          <w:szCs w:val="52"/>
        </w:rPr>
        <w:t>生产建设项目水土保持设施</w:t>
      </w:r>
    </w:p>
    <w:p>
      <w:pPr>
        <w:jc w:val="center"/>
        <w:rPr>
          <w:rFonts w:hint="default" w:ascii="Times New Roman" w:hAnsi="Times New Roman" w:eastAsia="仿宋_GB2312" w:cs="Times New Roman"/>
          <w:sz w:val="84"/>
          <w:szCs w:val="84"/>
        </w:rPr>
      </w:pPr>
      <w:r>
        <w:rPr>
          <w:rFonts w:hint="eastAsia" w:ascii="楷体" w:hAnsi="楷体" w:eastAsia="楷体" w:cs="楷体"/>
          <w:sz w:val="84"/>
          <w:szCs w:val="84"/>
        </w:rPr>
        <w:t>验收鉴定书</w:t>
      </w:r>
    </w:p>
    <w:p>
      <w:pPr>
        <w:spacing w:beforeLines="50" w:afterLines="50" w:line="360" w:lineRule="auto"/>
        <w:jc w:val="center"/>
        <w:rPr>
          <w:rFonts w:hint="default" w:ascii="Times New Roman" w:hAnsi="Times New Roman" w:eastAsia="仿宋_GB2312" w:cs="Times New Roman"/>
          <w:sz w:val="28"/>
          <w:szCs w:val="28"/>
        </w:rPr>
      </w:pPr>
    </w:p>
    <w:p>
      <w:pPr>
        <w:spacing w:beforeLines="50" w:afterLines="50" w:line="360" w:lineRule="auto"/>
        <w:rPr>
          <w:rFonts w:hint="default" w:ascii="Times New Roman" w:hAnsi="Times New Roman" w:eastAsia="仿宋_GB2312" w:cs="Times New Roman"/>
          <w:sz w:val="28"/>
          <w:szCs w:val="28"/>
        </w:rPr>
      </w:pPr>
    </w:p>
    <w:p>
      <w:pPr>
        <w:pStyle w:val="2"/>
        <w:rPr>
          <w:rFonts w:hint="default"/>
        </w:rPr>
      </w:pPr>
    </w:p>
    <w:p>
      <w:pPr>
        <w:spacing w:beforeLines="50" w:afterLines="50" w:line="360" w:lineRule="auto"/>
        <w:rPr>
          <w:rFonts w:hint="default" w:ascii="Times New Roman" w:hAnsi="Times New Roman" w:eastAsia="仿宋_GB2312" w:cs="Times New Roman"/>
          <w:sz w:val="28"/>
          <w:szCs w:val="28"/>
        </w:rPr>
      </w:pPr>
    </w:p>
    <w:p>
      <w:pPr>
        <w:spacing w:beforeLines="50" w:afterLines="50" w:line="360" w:lineRule="auto"/>
        <w:rPr>
          <w:rFonts w:hint="default" w:ascii="Times New Roman" w:hAnsi="Times New Roman" w:eastAsia="仿宋_GB2312" w:cs="Times New Roman"/>
          <w:sz w:val="28"/>
          <w:szCs w:val="28"/>
        </w:rPr>
      </w:pPr>
    </w:p>
    <w:p>
      <w:pPr>
        <w:spacing w:line="600" w:lineRule="exact"/>
        <w:ind w:firstLine="700" w:firstLineChars="250"/>
        <w:rPr>
          <w:rFonts w:hint="eastAsia" w:ascii="黑体" w:hAnsi="黑体" w:eastAsia="黑体" w:cs="黑体"/>
          <w:sz w:val="28"/>
          <w:szCs w:val="28"/>
          <w:lang w:eastAsia="zh-CN"/>
        </w:rPr>
      </w:pPr>
      <w:r>
        <w:rPr>
          <w:rFonts w:hint="eastAsia" w:ascii="黑体" w:hAnsi="黑体" w:eastAsia="黑体" w:cs="黑体"/>
          <w:sz w:val="28"/>
          <w:szCs w:val="28"/>
        </w:rPr>
        <w:t>项目名称:</w:t>
      </w:r>
      <w:r>
        <w:rPr>
          <w:rFonts w:hint="eastAsia" w:ascii="黑体" w:hAnsi="黑体" w:eastAsia="黑体" w:cs="黑体"/>
          <w:sz w:val="28"/>
          <w:szCs w:val="28"/>
          <w:u w:val="single"/>
          <w:lang w:eastAsia="zh-CN"/>
        </w:rPr>
        <w:t>南充西充观音110kV变电站35kV配套工程</w:t>
      </w:r>
    </w:p>
    <w:p>
      <w:pPr>
        <w:spacing w:line="360" w:lineRule="auto"/>
        <w:ind w:firstLine="700" w:firstLineChars="250"/>
        <w:rPr>
          <w:rFonts w:hint="eastAsia" w:ascii="黑体" w:hAnsi="黑体" w:eastAsia="黑体" w:cs="黑体"/>
          <w:sz w:val="28"/>
          <w:szCs w:val="28"/>
          <w:u w:val="single"/>
          <w:lang w:val="en-US" w:eastAsia="zh-CN"/>
        </w:rPr>
      </w:pPr>
      <w:r>
        <w:rPr>
          <w:rFonts w:hint="eastAsia" w:ascii="黑体" w:hAnsi="黑体" w:eastAsia="黑体" w:cs="黑体"/>
          <w:sz w:val="28"/>
          <w:szCs w:val="28"/>
        </w:rPr>
        <w:t>项目编号:</w:t>
      </w:r>
      <w:r>
        <w:rPr>
          <w:rFonts w:hint="eastAsia" w:ascii="黑体" w:hAnsi="黑体" w:eastAsia="黑体" w:cs="黑体"/>
          <w:sz w:val="28"/>
          <w:szCs w:val="28"/>
          <w:u w:val="single"/>
          <w:lang w:val="en-US" w:eastAsia="zh-CN"/>
        </w:rPr>
        <w:t>2019-511300-44-02-413238</w:t>
      </w:r>
    </w:p>
    <w:p>
      <w:pPr>
        <w:spacing w:line="360" w:lineRule="auto"/>
        <w:ind w:firstLine="700" w:firstLineChars="250"/>
        <w:rPr>
          <w:rFonts w:hint="eastAsia" w:ascii="黑体" w:hAnsi="黑体" w:eastAsia="黑体" w:cs="黑体"/>
          <w:sz w:val="28"/>
          <w:szCs w:val="28"/>
          <w:u w:val="single"/>
          <w:lang w:val="en-US" w:eastAsia="zh-CN"/>
        </w:rPr>
      </w:pPr>
      <w:r>
        <w:rPr>
          <w:rFonts w:hint="eastAsia" w:ascii="黑体" w:hAnsi="黑体" w:eastAsia="黑体" w:cs="黑体"/>
          <w:sz w:val="28"/>
          <w:szCs w:val="28"/>
        </w:rPr>
        <w:t>建设地点:</w:t>
      </w:r>
      <w:r>
        <w:rPr>
          <w:rFonts w:hint="eastAsia" w:ascii="黑体" w:hAnsi="黑体" w:eastAsia="黑体" w:cs="黑体"/>
          <w:sz w:val="28"/>
          <w:szCs w:val="28"/>
          <w:u w:val="single"/>
          <w:lang w:eastAsia="zh-CN"/>
        </w:rPr>
        <w:t>南充市西充县</w:t>
      </w:r>
    </w:p>
    <w:p>
      <w:pPr>
        <w:spacing w:line="360" w:lineRule="auto"/>
        <w:ind w:firstLine="700" w:firstLineChars="250"/>
        <w:rPr>
          <w:rFonts w:hint="eastAsia" w:ascii="黑体" w:hAnsi="黑体" w:eastAsia="黑体" w:cs="黑体"/>
          <w:sz w:val="28"/>
          <w:szCs w:val="28"/>
          <w:u w:val="single"/>
          <w:lang w:eastAsia="zh-CN"/>
        </w:rPr>
      </w:pPr>
      <w:r>
        <w:rPr>
          <w:rFonts w:hint="eastAsia" w:ascii="黑体" w:hAnsi="黑体" w:eastAsia="黑体" w:cs="黑体"/>
          <w:sz w:val="28"/>
          <w:szCs w:val="28"/>
        </w:rPr>
        <w:t>验收单位:</w:t>
      </w:r>
      <w:r>
        <w:rPr>
          <w:rFonts w:hint="eastAsia" w:ascii="黑体" w:hAnsi="黑体" w:eastAsia="黑体" w:cs="黑体"/>
          <w:sz w:val="28"/>
          <w:szCs w:val="28"/>
          <w:u w:val="single"/>
          <w:lang w:eastAsia="zh-CN"/>
        </w:rPr>
        <w:t>国网四川省电力公司南充供电公司</w:t>
      </w:r>
    </w:p>
    <w:p>
      <w:pPr>
        <w:rPr>
          <w:rFonts w:hint="eastAsia" w:ascii="黑体" w:hAnsi="黑体" w:eastAsia="黑体" w:cs="黑体"/>
          <w:sz w:val="28"/>
          <w:szCs w:val="28"/>
        </w:rPr>
      </w:pPr>
    </w:p>
    <w:p>
      <w:pPr>
        <w:rPr>
          <w:rFonts w:hint="eastAsia" w:ascii="黑体" w:hAnsi="黑体" w:eastAsia="黑体" w:cs="黑体"/>
          <w:sz w:val="28"/>
          <w:szCs w:val="28"/>
        </w:rPr>
      </w:pPr>
      <w:r>
        <w:rPr>
          <w:rFonts w:hint="eastAsia" w:ascii="黑体" w:hAnsi="黑体" w:eastAsia="黑体" w:cs="黑体"/>
          <w:sz w:val="28"/>
          <w:szCs w:val="28"/>
        </w:rPr>
        <w:br w:type="textWrapping"/>
      </w:r>
    </w:p>
    <w:p>
      <w:pPr>
        <w:rPr>
          <w:rFonts w:hint="eastAsia" w:ascii="黑体" w:hAnsi="黑体" w:eastAsia="黑体" w:cs="黑体"/>
          <w:sz w:val="28"/>
          <w:szCs w:val="28"/>
        </w:rPr>
      </w:pPr>
    </w:p>
    <w:p>
      <w:pPr>
        <w:spacing w:beforeLines="50" w:afterLines="50"/>
        <w:jc w:val="center"/>
        <w:rPr>
          <w:rFonts w:hint="default" w:ascii="Times New Roman" w:hAnsi="Times New Roman" w:eastAsia="仿宋_GB2312" w:cs="Times New Roman"/>
          <w:sz w:val="30"/>
          <w:szCs w:val="30"/>
        </w:rPr>
      </w:pP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20</w:t>
      </w:r>
      <w:r>
        <w:rPr>
          <w:rFonts w:hint="eastAsia" w:ascii="黑体" w:hAnsi="黑体" w:eastAsia="黑体" w:cs="黑体"/>
          <w:sz w:val="28"/>
          <w:szCs w:val="28"/>
          <w:lang w:val="en-US" w:eastAsia="zh-CN"/>
        </w:rPr>
        <w:t>21</w:t>
      </w:r>
      <w:r>
        <w:rPr>
          <w:rFonts w:hint="eastAsia" w:ascii="黑体" w:hAnsi="黑体" w:eastAsia="黑体" w:cs="黑体"/>
          <w:sz w:val="28"/>
          <w:szCs w:val="28"/>
        </w:rPr>
        <w:t>年</w:t>
      </w:r>
      <w:r>
        <w:rPr>
          <w:rFonts w:hint="eastAsia" w:ascii="黑体" w:hAnsi="黑体" w:eastAsia="黑体" w:cs="黑体"/>
          <w:sz w:val="28"/>
          <w:szCs w:val="28"/>
          <w:lang w:val="en-US" w:eastAsia="zh-CN"/>
        </w:rPr>
        <w:t>2</w:t>
      </w:r>
      <w:r>
        <w:rPr>
          <w:rFonts w:hint="eastAsia" w:ascii="黑体" w:hAnsi="黑体" w:eastAsia="黑体" w:cs="黑体"/>
          <w:sz w:val="28"/>
          <w:szCs w:val="28"/>
        </w:rPr>
        <w:t>月</w:t>
      </w:r>
      <w:r>
        <w:rPr>
          <w:rFonts w:hint="eastAsia" w:ascii="黑体" w:hAnsi="黑体" w:eastAsia="黑体" w:cs="黑体"/>
          <w:sz w:val="28"/>
          <w:szCs w:val="28"/>
          <w:lang w:val="en-US" w:eastAsia="zh-CN"/>
        </w:rPr>
        <w:t>20</w:t>
      </w:r>
      <w:r>
        <w:rPr>
          <w:rFonts w:hint="eastAsia" w:ascii="黑体" w:hAnsi="黑体" w:eastAsia="黑体" w:cs="黑体"/>
          <w:sz w:val="28"/>
          <w:szCs w:val="28"/>
        </w:rPr>
        <w:t>日</w:t>
      </w:r>
      <w:r>
        <w:rPr>
          <w:rFonts w:hint="default" w:ascii="Times New Roman" w:hAnsi="Times New Roman" w:eastAsia="仿宋_GB2312" w:cs="Times New Roman"/>
          <w:b/>
          <w:sz w:val="30"/>
          <w:szCs w:val="30"/>
        </w:rPr>
        <w:br w:type="column"/>
      </w:r>
      <w:r>
        <w:rPr>
          <w:rFonts w:hint="default" w:ascii="Times New Roman" w:hAnsi="Times New Roman" w:eastAsia="仿宋_GB2312" w:cs="Times New Roman"/>
          <w:b/>
          <w:bCs/>
          <w:sz w:val="30"/>
          <w:szCs w:val="30"/>
        </w:rPr>
        <w:t>一、生产建设项目水土保持设施验收基本情况表</w:t>
      </w:r>
    </w:p>
    <w:tbl>
      <w:tblPr>
        <w:tblStyle w:val="12"/>
        <w:tblW w:w="8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84"/>
        <w:gridCol w:w="2775"/>
        <w:gridCol w:w="1264"/>
        <w:gridCol w:w="15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3" w:hRule="exact"/>
          <w:jc w:val="center"/>
        </w:trPr>
        <w:tc>
          <w:tcPr>
            <w:tcW w:w="32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jc w:val="center"/>
              <w:textAlignment w:val="auto"/>
              <w:rPr>
                <w:rFonts w:hint="eastAsia" w:ascii="宋体" w:hAnsi="宋体" w:eastAsia="宋体" w:cs="宋体"/>
                <w:sz w:val="24"/>
                <w:szCs w:val="24"/>
              </w:rPr>
            </w:pPr>
            <w:r>
              <w:rPr>
                <w:rFonts w:hint="eastAsia" w:ascii="宋体" w:hAnsi="宋体" w:eastAsia="宋体" w:cs="宋体"/>
                <w:sz w:val="24"/>
                <w:szCs w:val="24"/>
              </w:rPr>
              <w:t>项目名称</w:t>
            </w:r>
          </w:p>
        </w:tc>
        <w:tc>
          <w:tcPr>
            <w:tcW w:w="2775"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南充西充观音110kV变电站35kV配套工程</w:t>
            </w:r>
          </w:p>
        </w:tc>
        <w:tc>
          <w:tcPr>
            <w:tcW w:w="126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行业类别</w:t>
            </w:r>
          </w:p>
        </w:tc>
        <w:tc>
          <w:tcPr>
            <w:tcW w:w="150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rPr>
            </w:pPr>
            <w:r>
              <w:rPr>
                <w:rFonts w:hint="eastAsia" w:ascii="宋体" w:hAnsi="宋体" w:eastAsia="宋体" w:cs="宋体"/>
                <w:color w:val="000000" w:themeColor="text1"/>
                <w:kern w:val="0"/>
                <w:sz w:val="24"/>
                <w:szCs w:val="24"/>
                <w:lang w:eastAsia="zh-CN"/>
                <w14:textFill>
                  <w14:solidFill>
                    <w14:schemeClr w14:val="tx1"/>
                  </w14:solidFill>
                </w14:textFill>
              </w:rPr>
              <w:t>输变电工程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exact"/>
          <w:jc w:val="center"/>
        </w:trPr>
        <w:tc>
          <w:tcPr>
            <w:tcW w:w="32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jc w:val="center"/>
              <w:textAlignment w:val="auto"/>
              <w:rPr>
                <w:rFonts w:hint="eastAsia" w:ascii="宋体" w:hAnsi="宋体" w:eastAsia="宋体" w:cs="宋体"/>
                <w:sz w:val="24"/>
                <w:szCs w:val="24"/>
              </w:rPr>
            </w:pPr>
            <w:r>
              <w:rPr>
                <w:rFonts w:hint="eastAsia" w:ascii="宋体" w:hAnsi="宋体" w:eastAsia="宋体" w:cs="宋体"/>
                <w:sz w:val="24"/>
                <w:szCs w:val="24"/>
              </w:rPr>
              <w:t>主管部门</w:t>
            </w:r>
          </w:p>
          <w:p>
            <w:pPr>
              <w:keepNext w:val="0"/>
              <w:keepLines w:val="0"/>
              <w:pageBreakBefore w:val="0"/>
              <w:widowControl w:val="0"/>
              <w:kinsoku/>
              <w:wordWrap/>
              <w:overflowPunct/>
              <w:topLinePunct w:val="0"/>
              <w:autoSpaceDE/>
              <w:autoSpaceDN/>
              <w:bidi w:val="0"/>
              <w:adjustRightInd/>
              <w:snapToGrid/>
              <w:spacing w:line="240" w:lineRule="auto"/>
              <w:ind w:left="120" w:leftChars="57"/>
              <w:jc w:val="center"/>
              <w:textAlignment w:val="auto"/>
              <w:rPr>
                <w:rFonts w:hint="eastAsia" w:ascii="宋体" w:hAnsi="宋体" w:eastAsia="宋体" w:cs="宋体"/>
                <w:sz w:val="24"/>
                <w:szCs w:val="24"/>
              </w:rPr>
            </w:pPr>
            <w:r>
              <w:rPr>
                <w:rFonts w:hint="eastAsia" w:ascii="宋体" w:hAnsi="宋体" w:eastAsia="宋体" w:cs="宋体"/>
                <w:sz w:val="24"/>
                <w:szCs w:val="24"/>
              </w:rPr>
              <w:t>（或主要投资方）</w:t>
            </w:r>
          </w:p>
        </w:tc>
        <w:tc>
          <w:tcPr>
            <w:tcW w:w="2775"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国网四川省电力公司南充供电公司</w:t>
            </w:r>
          </w:p>
        </w:tc>
        <w:tc>
          <w:tcPr>
            <w:tcW w:w="126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项目性质</w:t>
            </w:r>
          </w:p>
        </w:tc>
        <w:tc>
          <w:tcPr>
            <w:tcW w:w="150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6" w:hRule="exact"/>
          <w:jc w:val="center"/>
        </w:trPr>
        <w:tc>
          <w:tcPr>
            <w:tcW w:w="32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jc w:val="center"/>
              <w:textAlignment w:val="auto"/>
              <w:rPr>
                <w:rFonts w:hint="eastAsia" w:ascii="宋体" w:hAnsi="宋体" w:eastAsia="宋体" w:cs="宋体"/>
                <w:sz w:val="24"/>
                <w:szCs w:val="24"/>
              </w:rPr>
            </w:pPr>
            <w:r>
              <w:rPr>
                <w:rFonts w:hint="eastAsia" w:ascii="宋体" w:hAnsi="宋体" w:eastAsia="宋体" w:cs="宋体"/>
                <w:sz w:val="24"/>
                <w:szCs w:val="24"/>
              </w:rPr>
              <w:t>水土保持方案批复机关、文号及时间</w:t>
            </w:r>
          </w:p>
        </w:tc>
        <w:tc>
          <w:tcPr>
            <w:tcW w:w="5547"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jc w:val="left"/>
              <w:textAlignment w:val="auto"/>
              <w:rPr>
                <w:rFonts w:hint="eastAsia" w:ascii="宋体" w:hAnsi="宋体" w:eastAsia="宋体" w:cs="宋体"/>
                <w:sz w:val="24"/>
                <w:szCs w:val="24"/>
              </w:rPr>
            </w:pPr>
            <w:r>
              <w:rPr>
                <w:rFonts w:hint="eastAsia" w:ascii="宋体" w:hAnsi="宋体" w:eastAsia="宋体" w:cs="宋体"/>
                <w:color w:val="000000" w:themeColor="text1"/>
                <w:kern w:val="0"/>
                <w:sz w:val="24"/>
                <w:szCs w:val="24"/>
                <w14:textFill>
                  <w14:solidFill>
                    <w14:schemeClr w14:val="tx1"/>
                  </w14:solidFill>
                </w14:textFill>
              </w:rPr>
              <w:t>批复机关：</w:t>
            </w:r>
            <w:r>
              <w:rPr>
                <w:rFonts w:hint="eastAsia" w:ascii="宋体" w:hAnsi="宋体" w:eastAsia="宋体" w:cs="宋体"/>
                <w:color w:val="000000" w:themeColor="text1"/>
                <w:kern w:val="0"/>
                <w:sz w:val="24"/>
                <w:szCs w:val="24"/>
                <w:lang w:eastAsia="zh-CN"/>
                <w14:textFill>
                  <w14:solidFill>
                    <w14:schemeClr w14:val="tx1"/>
                  </w14:solidFill>
                </w14:textFill>
              </w:rPr>
              <w:t>西充县水务局</w:t>
            </w:r>
            <w:r>
              <w:rPr>
                <w:rFonts w:hint="eastAsia" w:ascii="宋体" w:hAnsi="宋体" w:eastAsia="宋体" w:cs="宋体"/>
                <w:color w:val="000000" w:themeColor="text1"/>
                <w:kern w:val="0"/>
                <w:sz w:val="24"/>
                <w:szCs w:val="24"/>
                <w14:textFill>
                  <w14:solidFill>
                    <w14:schemeClr w14:val="tx1"/>
                  </w14:solidFill>
                </w14:textFill>
              </w:rPr>
              <w:t>；批准文号：水土保持方案审批意见；批复时间：20</w:t>
            </w:r>
            <w:r>
              <w:rPr>
                <w:rFonts w:hint="eastAsia" w:ascii="宋体" w:hAnsi="宋体" w:eastAsia="宋体" w:cs="宋体"/>
                <w:color w:val="000000" w:themeColor="text1"/>
                <w:kern w:val="0"/>
                <w:sz w:val="24"/>
                <w:szCs w:val="24"/>
                <w:lang w:val="en-US" w:eastAsia="zh-CN"/>
                <w14:textFill>
                  <w14:solidFill>
                    <w14:schemeClr w14:val="tx1"/>
                  </w14:solidFill>
                </w14:textFill>
              </w:rPr>
              <w:t>20</w:t>
            </w:r>
            <w:r>
              <w:rPr>
                <w:rFonts w:hint="eastAsia" w:ascii="宋体" w:hAnsi="宋体" w:eastAsia="宋体" w:cs="宋体"/>
                <w:color w:val="000000" w:themeColor="text1"/>
                <w:kern w:val="0"/>
                <w:sz w:val="24"/>
                <w:szCs w:val="24"/>
                <w14:textFill>
                  <w14:solidFill>
                    <w14:schemeClr w14:val="tx1"/>
                  </w14:solidFill>
                </w14:textFill>
              </w:rPr>
              <w:t>年</w:t>
            </w:r>
            <w:r>
              <w:rPr>
                <w:rFonts w:hint="eastAsia" w:ascii="宋体" w:hAnsi="宋体" w:eastAsia="宋体" w:cs="宋体"/>
                <w:color w:val="000000" w:themeColor="text1"/>
                <w:kern w:val="0"/>
                <w:sz w:val="24"/>
                <w:szCs w:val="24"/>
                <w:lang w:val="en-US" w:eastAsia="zh-CN"/>
                <w14:textFill>
                  <w14:solidFill>
                    <w14:schemeClr w14:val="tx1"/>
                  </w14:solidFill>
                </w14:textFill>
              </w:rPr>
              <w:t>3</w:t>
            </w:r>
            <w:r>
              <w:rPr>
                <w:rFonts w:hint="eastAsia" w:ascii="宋体" w:hAnsi="宋体" w:eastAsia="宋体" w:cs="宋体"/>
                <w:color w:val="000000" w:themeColor="text1"/>
                <w:kern w:val="0"/>
                <w:sz w:val="24"/>
                <w:szCs w:val="24"/>
                <w14:textFill>
                  <w14:solidFill>
                    <w14:schemeClr w14:val="tx1"/>
                  </w14:solidFill>
                </w14:textFill>
              </w:rPr>
              <w:t>月</w:t>
            </w:r>
            <w:r>
              <w:rPr>
                <w:rFonts w:hint="eastAsia" w:ascii="宋体" w:hAnsi="宋体" w:eastAsia="宋体" w:cs="宋体"/>
                <w:color w:val="000000" w:themeColor="text1"/>
                <w:kern w:val="0"/>
                <w:sz w:val="24"/>
                <w:szCs w:val="24"/>
                <w:lang w:val="en-US" w:eastAsia="zh-CN"/>
                <w14:textFill>
                  <w14:solidFill>
                    <w14:schemeClr w14:val="tx1"/>
                  </w14:solidFill>
                </w14:textFill>
              </w:rPr>
              <w:t>30</w:t>
            </w:r>
            <w:r>
              <w:rPr>
                <w:rFonts w:hint="eastAsia" w:ascii="宋体" w:hAnsi="宋体" w:eastAsia="宋体" w:cs="宋体"/>
                <w:color w:val="000000" w:themeColor="text1"/>
                <w:kern w:val="0"/>
                <w:sz w:val="24"/>
                <w:szCs w:val="24"/>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exact"/>
          <w:jc w:val="center"/>
        </w:trPr>
        <w:tc>
          <w:tcPr>
            <w:tcW w:w="32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jc w:val="center"/>
              <w:textAlignment w:val="auto"/>
              <w:rPr>
                <w:rFonts w:hint="eastAsia" w:ascii="宋体" w:hAnsi="宋体" w:eastAsia="宋体" w:cs="宋体"/>
                <w:sz w:val="24"/>
                <w:szCs w:val="24"/>
              </w:rPr>
            </w:pPr>
            <w:r>
              <w:rPr>
                <w:rFonts w:hint="eastAsia" w:ascii="宋体" w:hAnsi="宋体" w:eastAsia="宋体" w:cs="宋体"/>
                <w:sz w:val="24"/>
                <w:szCs w:val="24"/>
              </w:rPr>
              <w:t>水土保持方案变更批复机关、文号及时间</w:t>
            </w:r>
          </w:p>
        </w:tc>
        <w:tc>
          <w:tcPr>
            <w:tcW w:w="5547"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0" w:hRule="exact"/>
          <w:jc w:val="center"/>
        </w:trPr>
        <w:tc>
          <w:tcPr>
            <w:tcW w:w="32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jc w:val="center"/>
              <w:textAlignment w:val="auto"/>
              <w:rPr>
                <w:rFonts w:hint="eastAsia" w:ascii="宋体" w:hAnsi="宋体" w:eastAsia="宋体" w:cs="宋体"/>
                <w:sz w:val="24"/>
                <w:szCs w:val="24"/>
              </w:rPr>
            </w:pPr>
            <w:r>
              <w:rPr>
                <w:rFonts w:hint="eastAsia" w:ascii="宋体" w:hAnsi="宋体" w:eastAsia="宋体" w:cs="宋体"/>
                <w:sz w:val="24"/>
                <w:szCs w:val="24"/>
              </w:rPr>
              <w:t>水土保持初步设计批复机关、文号及时间</w:t>
            </w:r>
          </w:p>
        </w:tc>
        <w:tc>
          <w:tcPr>
            <w:tcW w:w="5547"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color w:val="000000" w:themeColor="text1"/>
                <w:kern w:val="0"/>
                <w:sz w:val="24"/>
                <w:szCs w:val="24"/>
                <w:lang w:eastAsia="zh-CN"/>
                <w14:textFill>
                  <w14:solidFill>
                    <w14:schemeClr w14:val="tx1"/>
                  </w14:solidFill>
                </w14:textFill>
              </w:rPr>
              <w:t>国网四川省电力公司办公室、南电建设【</w:t>
            </w:r>
            <w:r>
              <w:rPr>
                <w:rFonts w:hint="eastAsia" w:ascii="宋体" w:hAnsi="宋体" w:eastAsia="宋体" w:cs="宋体"/>
                <w:color w:val="000000" w:themeColor="text1"/>
                <w:kern w:val="0"/>
                <w:sz w:val="24"/>
                <w:szCs w:val="24"/>
                <w:lang w:val="en-US" w:eastAsia="zh-CN"/>
                <w14:textFill>
                  <w14:solidFill>
                    <w14:schemeClr w14:val="tx1"/>
                  </w14:solidFill>
                </w14:textFill>
              </w:rPr>
              <w:t>2020</w:t>
            </w:r>
            <w:r>
              <w:rPr>
                <w:rFonts w:hint="eastAsia" w:ascii="宋体" w:hAnsi="宋体" w:eastAsia="宋体" w:cs="宋体"/>
                <w:color w:val="000000" w:themeColor="text1"/>
                <w:kern w:val="0"/>
                <w:sz w:val="24"/>
                <w:szCs w:val="24"/>
                <w:lang w:eastAsia="zh-CN"/>
                <w14:textFill>
                  <w14:solidFill>
                    <w14:schemeClr w14:val="tx1"/>
                  </w14:solidFill>
                </w14:textFill>
              </w:rPr>
              <w:t>】</w:t>
            </w:r>
            <w:r>
              <w:rPr>
                <w:rFonts w:hint="eastAsia" w:ascii="宋体" w:hAnsi="宋体" w:eastAsia="宋体" w:cs="宋体"/>
                <w:color w:val="000000" w:themeColor="text1"/>
                <w:kern w:val="0"/>
                <w:sz w:val="24"/>
                <w:szCs w:val="24"/>
                <w:lang w:val="en-US" w:eastAsia="zh-CN"/>
                <w14:textFill>
                  <w14:solidFill>
                    <w14:schemeClr w14:val="tx1"/>
                  </w14:solidFill>
                </w14:textFill>
              </w:rPr>
              <w:t>4号、2020年4月28日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0" w:hRule="exact"/>
          <w:jc w:val="center"/>
        </w:trPr>
        <w:tc>
          <w:tcPr>
            <w:tcW w:w="32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jc w:val="center"/>
              <w:textAlignment w:val="auto"/>
              <w:rPr>
                <w:rFonts w:hint="eastAsia" w:ascii="宋体" w:hAnsi="宋体" w:eastAsia="宋体" w:cs="宋体"/>
                <w:sz w:val="24"/>
                <w:szCs w:val="24"/>
              </w:rPr>
            </w:pPr>
            <w:r>
              <w:rPr>
                <w:rFonts w:hint="eastAsia" w:ascii="宋体" w:hAnsi="宋体" w:eastAsia="宋体" w:cs="宋体"/>
                <w:sz w:val="24"/>
                <w:szCs w:val="24"/>
              </w:rPr>
              <w:t>项目建设起止时间</w:t>
            </w:r>
          </w:p>
        </w:tc>
        <w:tc>
          <w:tcPr>
            <w:tcW w:w="5547"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right="120"/>
              <w:jc w:val="center"/>
              <w:textAlignment w:val="auto"/>
              <w:rPr>
                <w:rFonts w:hint="eastAsia" w:ascii="宋体" w:hAnsi="宋体" w:eastAsia="宋体" w:cs="宋体"/>
                <w:color w:val="FF0000"/>
                <w:sz w:val="24"/>
                <w:szCs w:val="24"/>
              </w:rPr>
            </w:pPr>
            <w:r>
              <w:rPr>
                <w:rFonts w:hint="eastAsia" w:ascii="宋体" w:hAnsi="宋体" w:eastAsia="宋体" w:cs="宋体"/>
                <w:color w:val="000000" w:themeColor="text1"/>
                <w:kern w:val="0"/>
                <w:sz w:val="24"/>
                <w:szCs w:val="24"/>
                <w14:textFill>
                  <w14:solidFill>
                    <w14:schemeClr w14:val="tx1"/>
                  </w14:solidFill>
                </w14:textFill>
              </w:rPr>
              <w:t>20</w:t>
            </w:r>
            <w:r>
              <w:rPr>
                <w:rFonts w:hint="eastAsia" w:ascii="宋体" w:hAnsi="宋体" w:eastAsia="宋体" w:cs="宋体"/>
                <w:color w:val="000000" w:themeColor="text1"/>
                <w:kern w:val="0"/>
                <w:sz w:val="24"/>
                <w:szCs w:val="24"/>
                <w:lang w:val="en-US" w:eastAsia="zh-CN"/>
                <w14:textFill>
                  <w14:solidFill>
                    <w14:schemeClr w14:val="tx1"/>
                  </w14:solidFill>
                </w14:textFill>
              </w:rPr>
              <w:t>20</w:t>
            </w:r>
            <w:r>
              <w:rPr>
                <w:rFonts w:hint="eastAsia" w:ascii="宋体" w:hAnsi="宋体" w:eastAsia="宋体" w:cs="宋体"/>
                <w:color w:val="000000" w:themeColor="text1"/>
                <w:kern w:val="0"/>
                <w:sz w:val="24"/>
                <w:szCs w:val="24"/>
                <w14:textFill>
                  <w14:solidFill>
                    <w14:schemeClr w14:val="tx1"/>
                  </w14:solidFill>
                </w14:textFill>
              </w:rPr>
              <w:t>年</w:t>
            </w:r>
            <w:r>
              <w:rPr>
                <w:rFonts w:hint="eastAsia" w:ascii="宋体" w:hAnsi="宋体" w:eastAsia="宋体" w:cs="宋体"/>
                <w:color w:val="000000" w:themeColor="text1"/>
                <w:kern w:val="0"/>
                <w:sz w:val="24"/>
                <w:szCs w:val="24"/>
                <w:lang w:val="en-US" w:eastAsia="zh-CN"/>
                <w14:textFill>
                  <w14:solidFill>
                    <w14:schemeClr w14:val="tx1"/>
                  </w14:solidFill>
                </w14:textFill>
              </w:rPr>
              <w:t>6</w:t>
            </w:r>
            <w:r>
              <w:rPr>
                <w:rFonts w:hint="eastAsia" w:ascii="宋体" w:hAnsi="宋体" w:eastAsia="宋体" w:cs="宋体"/>
                <w:color w:val="000000" w:themeColor="text1"/>
                <w:kern w:val="0"/>
                <w:sz w:val="24"/>
                <w:szCs w:val="24"/>
                <w14:textFill>
                  <w14:solidFill>
                    <w14:schemeClr w14:val="tx1"/>
                  </w14:solidFill>
                </w14:textFill>
              </w:rPr>
              <w:t>月开工建设，20</w:t>
            </w:r>
            <w:r>
              <w:rPr>
                <w:rFonts w:hint="eastAsia" w:ascii="宋体" w:hAnsi="宋体" w:eastAsia="宋体" w:cs="宋体"/>
                <w:color w:val="000000" w:themeColor="text1"/>
                <w:kern w:val="0"/>
                <w:sz w:val="24"/>
                <w:szCs w:val="24"/>
                <w:lang w:val="en-US" w:eastAsia="zh-CN"/>
                <w14:textFill>
                  <w14:solidFill>
                    <w14:schemeClr w14:val="tx1"/>
                  </w14:solidFill>
                </w14:textFill>
              </w:rPr>
              <w:t>20</w:t>
            </w:r>
            <w:r>
              <w:rPr>
                <w:rFonts w:hint="eastAsia" w:ascii="宋体" w:hAnsi="宋体" w:eastAsia="宋体" w:cs="宋体"/>
                <w:color w:val="000000" w:themeColor="text1"/>
                <w:kern w:val="0"/>
                <w:sz w:val="24"/>
                <w:szCs w:val="24"/>
                <w14:textFill>
                  <w14:solidFill>
                    <w14:schemeClr w14:val="tx1"/>
                  </w14:solidFill>
                </w14:textFill>
              </w:rPr>
              <w:t>年</w:t>
            </w:r>
            <w:r>
              <w:rPr>
                <w:rFonts w:hint="eastAsia" w:ascii="宋体" w:hAnsi="宋体" w:eastAsia="宋体" w:cs="宋体"/>
                <w:color w:val="000000" w:themeColor="text1"/>
                <w:kern w:val="0"/>
                <w:sz w:val="24"/>
                <w:szCs w:val="24"/>
                <w:lang w:val="en-US" w:eastAsia="zh-CN"/>
                <w14:textFill>
                  <w14:solidFill>
                    <w14:schemeClr w14:val="tx1"/>
                  </w14:solidFill>
                </w14:textFill>
              </w:rPr>
              <w:t>12</w:t>
            </w:r>
            <w:r>
              <w:rPr>
                <w:rFonts w:hint="eastAsia" w:ascii="宋体" w:hAnsi="宋体" w:eastAsia="宋体" w:cs="宋体"/>
                <w:color w:val="000000" w:themeColor="text1"/>
                <w:kern w:val="0"/>
                <w:sz w:val="24"/>
                <w:szCs w:val="24"/>
                <w14:textFill>
                  <w14:solidFill>
                    <w14:schemeClr w14:val="tx1"/>
                  </w14:solidFill>
                </w14:textFill>
              </w:rPr>
              <w:t>月完成施工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exact"/>
          <w:jc w:val="center"/>
        </w:trPr>
        <w:tc>
          <w:tcPr>
            <w:tcW w:w="32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jc w:val="center"/>
              <w:textAlignment w:val="auto"/>
              <w:rPr>
                <w:rFonts w:hint="eastAsia" w:ascii="宋体" w:hAnsi="宋体" w:eastAsia="宋体" w:cs="宋体"/>
                <w:sz w:val="24"/>
                <w:szCs w:val="24"/>
              </w:rPr>
            </w:pPr>
            <w:r>
              <w:rPr>
                <w:rFonts w:hint="eastAsia" w:ascii="宋体" w:hAnsi="宋体" w:eastAsia="宋体" w:cs="宋体"/>
                <w:sz w:val="24"/>
                <w:szCs w:val="24"/>
              </w:rPr>
              <w:t>水土保持方案编制单位</w:t>
            </w:r>
          </w:p>
        </w:tc>
        <w:tc>
          <w:tcPr>
            <w:tcW w:w="5547"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right="120"/>
              <w:jc w:val="center"/>
              <w:textAlignment w:val="auto"/>
              <w:rPr>
                <w:rFonts w:hint="eastAsia" w:ascii="宋体" w:hAnsi="宋体" w:eastAsia="宋体" w:cs="宋体"/>
                <w:sz w:val="24"/>
                <w:szCs w:val="24"/>
                <w:lang w:eastAsia="zh-CN"/>
              </w:rPr>
            </w:pPr>
            <w:r>
              <w:rPr>
                <w:rFonts w:hint="eastAsia" w:ascii="宋体" w:hAnsi="宋体" w:eastAsia="宋体" w:cs="宋体"/>
                <w:color w:val="000000" w:themeColor="text1"/>
                <w:kern w:val="0"/>
                <w:sz w:val="24"/>
                <w:szCs w:val="24"/>
                <w:lang w:eastAsia="zh-CN"/>
                <w14:textFill>
                  <w14:solidFill>
                    <w14:schemeClr w14:val="tx1"/>
                  </w14:solidFill>
                </w14:textFill>
              </w:rPr>
              <w:t>成都市水利电力勘测设计院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exact"/>
          <w:jc w:val="center"/>
        </w:trPr>
        <w:tc>
          <w:tcPr>
            <w:tcW w:w="32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jc w:val="center"/>
              <w:textAlignment w:val="auto"/>
              <w:rPr>
                <w:rFonts w:hint="eastAsia" w:ascii="宋体" w:hAnsi="宋体" w:eastAsia="宋体" w:cs="宋体"/>
                <w:sz w:val="24"/>
                <w:szCs w:val="24"/>
              </w:rPr>
            </w:pPr>
            <w:r>
              <w:rPr>
                <w:rFonts w:hint="eastAsia" w:ascii="宋体" w:hAnsi="宋体" w:eastAsia="宋体" w:cs="宋体"/>
                <w:sz w:val="24"/>
                <w:szCs w:val="24"/>
              </w:rPr>
              <w:t>水土保持初步设计单位</w:t>
            </w:r>
          </w:p>
        </w:tc>
        <w:tc>
          <w:tcPr>
            <w:tcW w:w="5547"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right="120"/>
              <w:jc w:val="center"/>
              <w:textAlignment w:val="auto"/>
              <w:rPr>
                <w:rFonts w:hint="eastAsia" w:ascii="宋体" w:hAnsi="宋体" w:eastAsia="宋体" w:cs="宋体"/>
                <w:sz w:val="24"/>
                <w:szCs w:val="24"/>
                <w:lang w:eastAsia="zh-CN"/>
              </w:rPr>
            </w:pPr>
            <w:r>
              <w:rPr>
                <w:rFonts w:hint="eastAsia" w:ascii="宋体" w:hAnsi="宋体" w:eastAsia="宋体" w:cs="宋体"/>
                <w:color w:val="000000" w:themeColor="text1"/>
                <w:kern w:val="0"/>
                <w:sz w:val="24"/>
                <w:szCs w:val="24"/>
                <w:lang w:eastAsia="zh-CN"/>
                <w14:textFill>
                  <w14:solidFill>
                    <w14:schemeClr w14:val="tx1"/>
                  </w14:solidFill>
                </w14:textFill>
              </w:rPr>
              <w:t>四川南充电力设计有限公司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exact"/>
          <w:jc w:val="center"/>
        </w:trPr>
        <w:tc>
          <w:tcPr>
            <w:tcW w:w="32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jc w:val="center"/>
              <w:textAlignment w:val="auto"/>
              <w:rPr>
                <w:rFonts w:hint="eastAsia" w:ascii="宋体" w:hAnsi="宋体" w:eastAsia="宋体" w:cs="宋体"/>
                <w:sz w:val="24"/>
                <w:szCs w:val="24"/>
              </w:rPr>
            </w:pPr>
            <w:r>
              <w:rPr>
                <w:rFonts w:hint="eastAsia" w:ascii="宋体" w:hAnsi="宋体" w:eastAsia="宋体" w:cs="宋体"/>
                <w:sz w:val="24"/>
                <w:szCs w:val="24"/>
              </w:rPr>
              <w:t>水土保持施工单位</w:t>
            </w:r>
          </w:p>
        </w:tc>
        <w:tc>
          <w:tcPr>
            <w:tcW w:w="5547"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right="120"/>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四川南充恒通电力有限公司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9" w:hRule="exact"/>
          <w:jc w:val="center"/>
        </w:trPr>
        <w:tc>
          <w:tcPr>
            <w:tcW w:w="32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jc w:val="center"/>
              <w:textAlignment w:val="auto"/>
              <w:rPr>
                <w:rFonts w:hint="eastAsia" w:ascii="宋体" w:hAnsi="宋体" w:eastAsia="宋体" w:cs="宋体"/>
                <w:sz w:val="24"/>
                <w:szCs w:val="24"/>
              </w:rPr>
            </w:pPr>
            <w:r>
              <w:rPr>
                <w:rFonts w:hint="eastAsia" w:ascii="宋体" w:hAnsi="宋体" w:eastAsia="宋体" w:cs="宋体"/>
                <w:sz w:val="24"/>
                <w:szCs w:val="24"/>
              </w:rPr>
              <w:t>水土保持监理单位</w:t>
            </w:r>
          </w:p>
        </w:tc>
        <w:tc>
          <w:tcPr>
            <w:tcW w:w="5547"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right="120"/>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四川东祥工程项目管理有限公司南充分公司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exact"/>
          <w:jc w:val="center"/>
        </w:trPr>
        <w:tc>
          <w:tcPr>
            <w:tcW w:w="32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jc w:val="center"/>
              <w:textAlignment w:val="auto"/>
              <w:rPr>
                <w:rFonts w:hint="eastAsia" w:ascii="宋体" w:hAnsi="宋体" w:eastAsia="宋体" w:cs="宋体"/>
                <w:sz w:val="24"/>
                <w:szCs w:val="24"/>
              </w:rPr>
            </w:pPr>
            <w:r>
              <w:rPr>
                <w:rFonts w:hint="eastAsia" w:ascii="宋体" w:hAnsi="宋体" w:eastAsia="宋体" w:cs="宋体"/>
                <w:sz w:val="24"/>
                <w:szCs w:val="24"/>
              </w:rPr>
              <w:t>水土保持设施验收</w:t>
            </w:r>
          </w:p>
          <w:p>
            <w:pPr>
              <w:keepNext w:val="0"/>
              <w:keepLines w:val="0"/>
              <w:pageBreakBefore w:val="0"/>
              <w:widowControl w:val="0"/>
              <w:kinsoku/>
              <w:wordWrap/>
              <w:overflowPunct/>
              <w:topLinePunct w:val="0"/>
              <w:autoSpaceDE/>
              <w:autoSpaceDN/>
              <w:bidi w:val="0"/>
              <w:adjustRightInd/>
              <w:snapToGrid/>
              <w:spacing w:line="240" w:lineRule="auto"/>
              <w:ind w:left="120" w:leftChars="57"/>
              <w:jc w:val="center"/>
              <w:textAlignment w:val="auto"/>
              <w:rPr>
                <w:rFonts w:hint="eastAsia" w:ascii="宋体" w:hAnsi="宋体" w:eastAsia="宋体" w:cs="宋体"/>
                <w:sz w:val="24"/>
                <w:szCs w:val="24"/>
              </w:rPr>
            </w:pPr>
            <w:r>
              <w:rPr>
                <w:rFonts w:hint="eastAsia" w:ascii="宋体" w:hAnsi="宋体" w:eastAsia="宋体" w:cs="宋体"/>
                <w:sz w:val="24"/>
                <w:szCs w:val="24"/>
              </w:rPr>
              <w:t>报告编制单位</w:t>
            </w:r>
          </w:p>
        </w:tc>
        <w:tc>
          <w:tcPr>
            <w:tcW w:w="5547"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right="120"/>
              <w:jc w:val="center"/>
              <w:textAlignment w:val="auto"/>
              <w:rPr>
                <w:rFonts w:hint="eastAsia" w:ascii="宋体" w:hAnsi="宋体" w:eastAsia="宋体" w:cs="宋体"/>
                <w:sz w:val="24"/>
                <w:szCs w:val="24"/>
              </w:rPr>
            </w:pPr>
            <w:r>
              <w:rPr>
                <w:rFonts w:hint="eastAsia" w:ascii="宋体" w:hAnsi="宋体" w:eastAsia="宋体" w:cs="宋体"/>
                <w:sz w:val="24"/>
                <w:szCs w:val="24"/>
              </w:rPr>
              <w:t>四川眉山华能工程技术咨询设计有限公司</w:t>
            </w:r>
          </w:p>
          <w:p>
            <w:pPr>
              <w:keepNext w:val="0"/>
              <w:keepLines w:val="0"/>
              <w:pageBreakBefore w:val="0"/>
              <w:widowControl w:val="0"/>
              <w:kinsoku/>
              <w:wordWrap/>
              <w:overflowPunct/>
              <w:topLinePunct w:val="0"/>
              <w:autoSpaceDE/>
              <w:autoSpaceDN/>
              <w:bidi w:val="0"/>
              <w:adjustRightInd/>
              <w:snapToGrid/>
              <w:spacing w:line="240" w:lineRule="auto"/>
              <w:ind w:left="120" w:right="120"/>
              <w:jc w:val="center"/>
              <w:textAlignment w:val="auto"/>
              <w:rPr>
                <w:rFonts w:hint="eastAsia" w:ascii="宋体" w:hAnsi="宋体" w:eastAsia="宋体" w:cs="宋体"/>
                <w:sz w:val="24"/>
                <w:szCs w:val="24"/>
              </w:rPr>
            </w:pPr>
          </w:p>
        </w:tc>
      </w:tr>
    </w:tbl>
    <w:p>
      <w:pP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br w:type="page"/>
      </w:r>
    </w:p>
    <w:p>
      <w:pPr>
        <w:ind w:firstLine="602" w:firstLineChars="200"/>
        <w:rPr>
          <w:rFonts w:hint="default" w:ascii="Times New Roman" w:hAnsi="Times New Roman" w:eastAsia="仿宋_GB2312" w:cs="Times New Roman"/>
          <w:b/>
          <w:bCs/>
        </w:rPr>
      </w:pPr>
      <w:r>
        <w:rPr>
          <w:rFonts w:hint="default" w:ascii="Times New Roman" w:hAnsi="Times New Roman" w:eastAsia="仿宋_GB2312" w:cs="Times New Roman"/>
          <w:b/>
          <w:bCs/>
          <w:sz w:val="30"/>
          <w:szCs w:val="30"/>
        </w:rPr>
        <w:t>二、验收意见</w:t>
      </w:r>
    </w:p>
    <w:tbl>
      <w:tblPr>
        <w:tblStyle w:val="12"/>
        <w:tblW w:w="93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20" w:hRule="atLeast"/>
          <w:jc w:val="center"/>
        </w:trPr>
        <w:tc>
          <w:tcPr>
            <w:tcW w:w="9340" w:type="dxa"/>
          </w:tcPr>
          <w:p>
            <w:pPr>
              <w:snapToGrid w:val="0"/>
              <w:spacing w:line="56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根据《中华人民共和国水土保持法》、《水利部办公厅关于印发生产建设项目水土保持设施自主验收规程（试行）的通知》（办水保【2018】133号）及《四川省水利厅转发水利部关于加强事中事后监管规范生产建设项目水土保持设施自主验收的通知》（川水函【2018】887号）的规定，</w:t>
            </w:r>
            <w:r>
              <w:rPr>
                <w:rFonts w:hint="default" w:ascii="Times New Roman" w:hAnsi="Times New Roman" w:eastAsia="仿宋_GB2312" w:cs="Times New Roman"/>
                <w:sz w:val="30"/>
                <w:szCs w:val="30"/>
                <w:lang w:eastAsia="zh-CN"/>
              </w:rPr>
              <w:t>国网四川省电力公司南充供电公司</w:t>
            </w:r>
            <w:r>
              <w:rPr>
                <w:rFonts w:hint="default" w:ascii="Times New Roman" w:hAnsi="Times New Roman" w:eastAsia="仿宋_GB2312" w:cs="Times New Roman"/>
                <w:sz w:val="30"/>
                <w:szCs w:val="30"/>
              </w:rPr>
              <w:t>于20</w:t>
            </w:r>
            <w:r>
              <w:rPr>
                <w:rFonts w:hint="default" w:ascii="Times New Roman" w:hAnsi="Times New Roman" w:eastAsia="仿宋_GB2312" w:cs="Times New Roman"/>
                <w:sz w:val="30"/>
                <w:szCs w:val="30"/>
                <w:lang w:val="en-US" w:eastAsia="zh-CN"/>
              </w:rPr>
              <w:t>2</w:t>
            </w:r>
            <w:r>
              <w:rPr>
                <w:rFonts w:hint="eastAsia" w:ascii="Times New Roman" w:hAnsi="Times New Roman" w:eastAsia="仿宋_GB2312" w:cs="Times New Roman"/>
                <w:sz w:val="30"/>
                <w:szCs w:val="30"/>
                <w:lang w:val="en-US" w:eastAsia="zh-CN"/>
              </w:rPr>
              <w:t>1</w:t>
            </w:r>
            <w:r>
              <w:rPr>
                <w:rFonts w:hint="default" w:ascii="Times New Roman" w:hAnsi="Times New Roman" w:eastAsia="仿宋_GB2312" w:cs="Times New Roman"/>
                <w:sz w:val="30"/>
                <w:szCs w:val="30"/>
              </w:rPr>
              <w:t>年</w:t>
            </w:r>
            <w:r>
              <w:rPr>
                <w:rFonts w:hint="eastAsia" w:ascii="Times New Roman" w:hAnsi="Times New Roman" w:eastAsia="仿宋_GB2312" w:cs="Times New Roman"/>
                <w:sz w:val="30"/>
                <w:szCs w:val="30"/>
                <w:lang w:val="en-US" w:eastAsia="zh-CN"/>
              </w:rPr>
              <w:t>2</w:t>
            </w:r>
            <w:r>
              <w:rPr>
                <w:rFonts w:hint="default" w:ascii="Times New Roman" w:hAnsi="Times New Roman" w:eastAsia="仿宋_GB2312" w:cs="Times New Roman"/>
                <w:sz w:val="30"/>
                <w:szCs w:val="30"/>
              </w:rPr>
              <w:t>月</w:t>
            </w:r>
            <w:r>
              <w:rPr>
                <w:rFonts w:hint="eastAsia" w:ascii="Times New Roman" w:hAnsi="Times New Roman" w:eastAsia="仿宋_GB2312" w:cs="Times New Roman"/>
                <w:sz w:val="30"/>
                <w:szCs w:val="30"/>
                <w:lang w:val="en-US" w:eastAsia="zh-CN"/>
              </w:rPr>
              <w:t>20日</w:t>
            </w:r>
            <w:r>
              <w:rPr>
                <w:rFonts w:hint="default" w:ascii="Times New Roman" w:hAnsi="Times New Roman" w:eastAsia="仿宋_GB2312" w:cs="Times New Roman"/>
                <w:sz w:val="30"/>
                <w:szCs w:val="30"/>
              </w:rPr>
              <w:t>在</w:t>
            </w:r>
            <w:r>
              <w:rPr>
                <w:rFonts w:hint="default" w:ascii="Times New Roman" w:hAnsi="Times New Roman" w:eastAsia="仿宋_GB2312" w:cs="Times New Roman"/>
                <w:sz w:val="30"/>
                <w:szCs w:val="30"/>
                <w:lang w:eastAsia="zh-CN"/>
              </w:rPr>
              <w:t>南充市（国网四川省电力公司南充供电公司会议室）</w:t>
            </w:r>
            <w:r>
              <w:rPr>
                <w:rFonts w:hint="default" w:ascii="Times New Roman" w:hAnsi="Times New Roman" w:eastAsia="仿宋_GB2312" w:cs="Times New Roman"/>
                <w:sz w:val="30"/>
                <w:szCs w:val="30"/>
              </w:rPr>
              <w:t>召开了</w:t>
            </w:r>
            <w:r>
              <w:rPr>
                <w:rFonts w:hint="default" w:ascii="Times New Roman" w:hAnsi="Times New Roman" w:eastAsia="仿宋_GB2312" w:cs="Times New Roman"/>
                <w:sz w:val="30"/>
                <w:szCs w:val="30"/>
                <w:lang w:eastAsia="zh-CN"/>
              </w:rPr>
              <w:t>南充西充观音110kV变电站35kV配套工程</w:t>
            </w:r>
            <w:r>
              <w:rPr>
                <w:rFonts w:hint="default" w:ascii="Times New Roman" w:hAnsi="Times New Roman" w:eastAsia="仿宋_GB2312" w:cs="Times New Roman"/>
                <w:sz w:val="30"/>
                <w:szCs w:val="30"/>
              </w:rPr>
              <w:t>水土保持设施竣工验收会议。参加会议的有</w:t>
            </w:r>
            <w:r>
              <w:rPr>
                <w:rFonts w:hint="default" w:ascii="Times New Roman" w:hAnsi="Times New Roman" w:eastAsia="仿宋_GB2312" w:cs="Times New Roman"/>
                <w:sz w:val="30"/>
                <w:szCs w:val="30"/>
                <w:lang w:eastAsia="zh-CN"/>
              </w:rPr>
              <w:t>国网四川省电力公司南充供电公司、</w:t>
            </w:r>
            <w:r>
              <w:rPr>
                <w:rFonts w:hint="default" w:ascii="Times New Roman" w:hAnsi="Times New Roman" w:eastAsia="仿宋_GB2312" w:cs="Times New Roman"/>
                <w:sz w:val="30"/>
                <w:szCs w:val="30"/>
              </w:rPr>
              <w:t>水土保持方案编制单位</w:t>
            </w:r>
            <w:r>
              <w:rPr>
                <w:rFonts w:hint="eastAsia" w:ascii="Times New Roman" w:hAnsi="Times New Roman" w:eastAsia="仿宋_GB2312" w:cs="Times New Roman"/>
                <w:color w:val="000000" w:themeColor="text1"/>
                <w:kern w:val="0"/>
                <w:sz w:val="30"/>
                <w:szCs w:val="30"/>
                <w:lang w:eastAsia="zh-CN"/>
                <w14:textFill>
                  <w14:solidFill>
                    <w14:schemeClr w14:val="tx1"/>
                  </w14:solidFill>
                </w14:textFill>
              </w:rPr>
              <w:t>成都市水利电力勘测设计院</w:t>
            </w:r>
            <w:r>
              <w:rPr>
                <w:rFonts w:hint="default" w:ascii="Times New Roman" w:hAnsi="Times New Roman" w:eastAsia="仿宋_GB2312" w:cs="Times New Roman"/>
                <w:sz w:val="30"/>
                <w:szCs w:val="30"/>
              </w:rPr>
              <w:t>、水土保持验收编制单位四川眉山华能工程技术咨询设计有限公司、监理单位</w:t>
            </w:r>
            <w:r>
              <w:rPr>
                <w:rFonts w:hint="eastAsia" w:ascii="Times New Roman" w:hAnsi="Times New Roman" w:eastAsia="仿宋_GB2312" w:cs="Times New Roman"/>
                <w:sz w:val="30"/>
                <w:szCs w:val="30"/>
                <w:lang w:eastAsia="zh-CN"/>
              </w:rPr>
              <w:t>四川东祥工程项目管理有限公司南充分公司</w:t>
            </w:r>
            <w:r>
              <w:rPr>
                <w:rFonts w:hint="default" w:ascii="Times New Roman" w:hAnsi="Times New Roman" w:eastAsia="仿宋_GB2312" w:cs="Times New Roman"/>
                <w:sz w:val="30"/>
                <w:szCs w:val="30"/>
              </w:rPr>
              <w:t>、施工单位</w:t>
            </w:r>
            <w:r>
              <w:rPr>
                <w:rFonts w:hint="default" w:ascii="Times New Roman" w:hAnsi="Times New Roman" w:eastAsia="仿宋_GB2312" w:cs="Times New Roman"/>
                <w:sz w:val="30"/>
                <w:szCs w:val="30"/>
                <w:lang w:eastAsia="zh-CN"/>
              </w:rPr>
              <w:t>四川南充恒通电力有限公司，参会人员名单附后</w:t>
            </w:r>
            <w:r>
              <w:rPr>
                <w:rFonts w:hint="default" w:ascii="Times New Roman" w:hAnsi="Times New Roman" w:eastAsia="仿宋_GB2312" w:cs="Times New Roman"/>
                <w:sz w:val="30"/>
                <w:szCs w:val="30"/>
              </w:rPr>
              <w:t>。</w:t>
            </w:r>
          </w:p>
          <w:p>
            <w:pPr>
              <w:snapToGrid w:val="0"/>
              <w:spacing w:line="560" w:lineRule="exact"/>
              <w:ind w:firstLine="555"/>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验收组及与会代表查勘了工程现场，听取了建设单位水土保持工作开展情况汇报，施工单位水土保持措施实施情况，监理单位水土保持设施监理情况汇报，方案编制单位水土保持设施满足方案编制情况汇报，验收报告编制单位水土保持设施验收总结情况汇报，验收组在认真讨论后，形成验收意见如下：</w:t>
            </w:r>
            <w:r>
              <w:rPr>
                <w:rFonts w:hint="default" w:ascii="Times New Roman" w:hAnsi="Times New Roman" w:eastAsia="仿宋_GB2312" w:cs="Times New Roman"/>
                <w:sz w:val="30"/>
                <w:szCs w:val="30"/>
              </w:rPr>
              <w:br w:type="textWrapping"/>
            </w:r>
            <w:r>
              <w:rPr>
                <w:rFonts w:hint="eastAsia" w:ascii="Times New Roman" w:hAnsi="Times New Roman" w:eastAsia="仿宋_GB2312" w:cs="Times New Roman"/>
                <w:sz w:val="30"/>
                <w:szCs w:val="30"/>
                <w:lang w:val="en-US" w:eastAsia="zh-CN"/>
              </w:rPr>
              <w:t xml:space="preserve">   </w:t>
            </w:r>
            <w:r>
              <w:rPr>
                <w:rFonts w:hint="default" w:ascii="Times New Roman" w:hAnsi="Times New Roman" w:eastAsia="仿宋_GB2312" w:cs="Times New Roman"/>
                <w:sz w:val="30"/>
                <w:szCs w:val="30"/>
              </w:rPr>
              <w:t>（一）项目概况</w:t>
            </w:r>
          </w:p>
          <w:p>
            <w:pPr>
              <w:snapToGrid w:val="0"/>
              <w:spacing w:line="56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lang w:eastAsia="zh-CN"/>
              </w:rPr>
              <w:t>南充西充观音110kV变电站35kV配套工程</w:t>
            </w:r>
            <w:r>
              <w:rPr>
                <w:rFonts w:hint="eastAsia" w:ascii="Times New Roman" w:hAnsi="Times New Roman" w:eastAsia="仿宋_GB2312" w:cs="Times New Roman"/>
                <w:sz w:val="30"/>
                <w:szCs w:val="30"/>
                <w:lang w:eastAsia="zh-CN"/>
              </w:rPr>
              <w:t>由</w:t>
            </w:r>
            <w:r>
              <w:rPr>
                <w:rFonts w:hint="default" w:ascii="Times New Roman" w:hAnsi="Times New Roman" w:eastAsia="仿宋_GB2312" w:cs="Times New Roman"/>
                <w:sz w:val="30"/>
                <w:szCs w:val="30"/>
                <w:lang w:eastAsia="zh-CN"/>
              </w:rPr>
              <w:t>南充西充观音110kV变电站35kV配套工程由35kV棕太线改接进110kV观音站线路工程、35kV城棕线π接进110kV观音站线路工程和35kV城双线改接进110kV观音站线路工程三部分组成</w:t>
            </w:r>
            <w:r>
              <w:rPr>
                <w:rFonts w:hint="default" w:ascii="Times New Roman" w:hAnsi="Times New Roman" w:eastAsia="仿宋_GB2312" w:cs="Times New Roman"/>
                <w:sz w:val="30"/>
                <w:szCs w:val="30"/>
                <w:lang w:val="en-US" w:eastAsia="zh-CN"/>
              </w:rPr>
              <w:t>。项目工程占地0.</w:t>
            </w:r>
            <w:r>
              <w:rPr>
                <w:rFonts w:hint="eastAsia" w:ascii="Times New Roman" w:hAnsi="Times New Roman" w:eastAsia="仿宋_GB2312" w:cs="Times New Roman"/>
                <w:sz w:val="30"/>
                <w:szCs w:val="30"/>
                <w:lang w:val="en-US" w:eastAsia="zh-CN"/>
              </w:rPr>
              <w:t>73</w:t>
            </w:r>
            <w:r>
              <w:rPr>
                <w:rFonts w:hint="default" w:ascii="Times New Roman" w:hAnsi="Times New Roman" w:eastAsia="仿宋_GB2312" w:cs="Times New Roman"/>
                <w:sz w:val="30"/>
                <w:szCs w:val="30"/>
                <w:lang w:val="en-US" w:eastAsia="zh-CN"/>
              </w:rPr>
              <w:t xml:space="preserve"> </w:t>
            </w:r>
            <w:r>
              <w:rPr>
                <w:rFonts w:hint="default" w:ascii="Times New Roman" w:hAnsi="Times New Roman" w:eastAsia="仿宋_GB2312" w:cs="Times New Roman"/>
                <w:sz w:val="30"/>
                <w:szCs w:val="30"/>
                <w:lang w:eastAsia="zh-CN"/>
              </w:rPr>
              <w:t>hm²</w:t>
            </w:r>
            <w:r>
              <w:rPr>
                <w:rFonts w:hint="default" w:ascii="Times New Roman" w:hAnsi="Times New Roman" w:eastAsia="仿宋_GB2312" w:cs="Times New Roman"/>
                <w:sz w:val="30"/>
                <w:szCs w:val="30"/>
              </w:rPr>
              <w:t>。</w:t>
            </w:r>
          </w:p>
          <w:p>
            <w:pPr>
              <w:snapToGrid w:val="0"/>
              <w:spacing w:line="560" w:lineRule="exact"/>
              <w:ind w:firstLine="600" w:firstLineChars="200"/>
              <w:rPr>
                <w:rFonts w:hint="default" w:ascii="Times New Roman" w:hAnsi="Times New Roman" w:eastAsia="仿宋_GB2312" w:cs="Times New Roman"/>
                <w:sz w:val="30"/>
                <w:szCs w:val="30"/>
                <w:lang w:eastAsia="zh-CN"/>
              </w:rPr>
            </w:pPr>
            <w:r>
              <w:rPr>
                <w:rFonts w:hint="default" w:ascii="Times New Roman" w:hAnsi="Times New Roman" w:eastAsia="仿宋_GB2312" w:cs="Times New Roman"/>
                <w:sz w:val="30"/>
                <w:szCs w:val="30"/>
              </w:rPr>
              <w:t>工程建设类型为新建</w:t>
            </w:r>
            <w:r>
              <w:rPr>
                <w:rFonts w:hint="default" w:ascii="Times New Roman" w:hAnsi="Times New Roman" w:eastAsia="仿宋_GB2312" w:cs="Times New Roman"/>
                <w:sz w:val="30"/>
                <w:szCs w:val="30"/>
                <w:lang w:eastAsia="zh-CN"/>
              </w:rPr>
              <w:t>。</w:t>
            </w:r>
          </w:p>
          <w:p>
            <w:pPr>
              <w:snapToGrid w:val="0"/>
              <w:spacing w:line="56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工程于20</w:t>
            </w:r>
            <w:r>
              <w:rPr>
                <w:rFonts w:hint="eastAsia" w:ascii="Times New Roman" w:hAnsi="Times New Roman" w:eastAsia="仿宋_GB2312" w:cs="Times New Roman"/>
                <w:sz w:val="30"/>
                <w:szCs w:val="30"/>
                <w:lang w:val="en-US" w:eastAsia="zh-CN"/>
              </w:rPr>
              <w:t>20</w:t>
            </w:r>
            <w:r>
              <w:rPr>
                <w:rFonts w:hint="default" w:ascii="Times New Roman" w:hAnsi="Times New Roman" w:eastAsia="仿宋_GB2312" w:cs="Times New Roman"/>
                <w:sz w:val="30"/>
                <w:szCs w:val="30"/>
              </w:rPr>
              <w:t>年</w:t>
            </w:r>
            <w:r>
              <w:rPr>
                <w:rFonts w:hint="eastAsia" w:ascii="Times New Roman" w:hAnsi="Times New Roman" w:eastAsia="仿宋_GB2312" w:cs="Times New Roman"/>
                <w:sz w:val="30"/>
                <w:szCs w:val="30"/>
                <w:lang w:val="en-US" w:eastAsia="zh-CN"/>
              </w:rPr>
              <w:t>6</w:t>
            </w:r>
            <w:r>
              <w:rPr>
                <w:rFonts w:hint="default" w:ascii="Times New Roman" w:hAnsi="Times New Roman" w:eastAsia="仿宋_GB2312" w:cs="Times New Roman"/>
                <w:sz w:val="30"/>
                <w:szCs w:val="30"/>
              </w:rPr>
              <w:t>月开工， 20</w:t>
            </w:r>
            <w:r>
              <w:rPr>
                <w:rFonts w:hint="eastAsia" w:ascii="Times New Roman" w:hAnsi="Times New Roman" w:eastAsia="仿宋_GB2312" w:cs="Times New Roman"/>
                <w:sz w:val="30"/>
                <w:szCs w:val="30"/>
                <w:lang w:val="en-US" w:eastAsia="zh-CN"/>
              </w:rPr>
              <w:t>20</w:t>
            </w:r>
            <w:r>
              <w:rPr>
                <w:rFonts w:hint="default" w:ascii="Times New Roman" w:hAnsi="Times New Roman" w:eastAsia="仿宋_GB2312" w:cs="Times New Roman"/>
                <w:sz w:val="30"/>
                <w:szCs w:val="30"/>
              </w:rPr>
              <w:t>年</w:t>
            </w:r>
            <w:r>
              <w:rPr>
                <w:rFonts w:hint="eastAsia" w:ascii="Times New Roman" w:hAnsi="Times New Roman" w:eastAsia="仿宋_GB2312" w:cs="Times New Roman"/>
                <w:sz w:val="30"/>
                <w:szCs w:val="30"/>
                <w:lang w:val="en-US" w:eastAsia="zh-CN"/>
              </w:rPr>
              <w:t>12</w:t>
            </w:r>
            <w:r>
              <w:rPr>
                <w:rFonts w:hint="default" w:ascii="Times New Roman" w:hAnsi="Times New Roman" w:eastAsia="仿宋_GB2312" w:cs="Times New Roman"/>
                <w:sz w:val="30"/>
                <w:szCs w:val="30"/>
              </w:rPr>
              <w:t>月竣工。总工期</w:t>
            </w:r>
            <w:r>
              <w:rPr>
                <w:rFonts w:hint="eastAsia" w:ascii="Times New Roman" w:hAnsi="Times New Roman" w:eastAsia="仿宋_GB2312" w:cs="Times New Roman"/>
                <w:sz w:val="30"/>
                <w:szCs w:val="30"/>
                <w:lang w:val="en-US" w:eastAsia="zh-CN"/>
              </w:rPr>
              <w:t>7</w:t>
            </w:r>
            <w:r>
              <w:rPr>
                <w:rFonts w:hint="default" w:ascii="Times New Roman" w:hAnsi="Times New Roman" w:eastAsia="仿宋_GB2312" w:cs="Times New Roman"/>
                <w:sz w:val="30"/>
                <w:szCs w:val="30"/>
              </w:rPr>
              <w:t>个月。</w:t>
            </w:r>
          </w:p>
          <w:p>
            <w:pPr>
              <w:snapToGrid w:val="0"/>
              <w:spacing w:line="56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工程总投资860万元，其中土建投资198万元，资金来源为自有资本金25%，银行贷款75%。由国网四川省电力公司南充供电公司负责投资建设管理。</w:t>
            </w:r>
          </w:p>
          <w:p>
            <w:pPr>
              <w:snapToGrid w:val="0"/>
              <w:spacing w:line="56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（二）水土保持方案批复情况</w:t>
            </w:r>
          </w:p>
          <w:p>
            <w:pPr>
              <w:snapToGrid w:val="0"/>
              <w:spacing w:line="560" w:lineRule="exact"/>
              <w:ind w:firstLine="555"/>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20</w:t>
            </w:r>
            <w:r>
              <w:rPr>
                <w:rFonts w:hint="eastAsia" w:ascii="Times New Roman" w:hAnsi="Times New Roman" w:eastAsia="仿宋_GB2312" w:cs="Times New Roman"/>
                <w:sz w:val="30"/>
                <w:szCs w:val="30"/>
                <w:lang w:val="en-US" w:eastAsia="zh-CN"/>
              </w:rPr>
              <w:t>20</w:t>
            </w:r>
            <w:r>
              <w:rPr>
                <w:rFonts w:hint="default" w:ascii="Times New Roman" w:hAnsi="Times New Roman" w:eastAsia="仿宋_GB2312" w:cs="Times New Roman"/>
                <w:sz w:val="30"/>
                <w:szCs w:val="30"/>
              </w:rPr>
              <w:t>年1月，</w:t>
            </w:r>
            <w:r>
              <w:rPr>
                <w:rFonts w:hint="eastAsia" w:ascii="Times New Roman" w:hAnsi="Times New Roman" w:eastAsia="仿宋_GB2312" w:cs="Times New Roman"/>
                <w:sz w:val="30"/>
                <w:szCs w:val="30"/>
                <w:lang w:eastAsia="zh-CN"/>
              </w:rPr>
              <w:t>成都市水利电力勘测设计院</w:t>
            </w:r>
            <w:r>
              <w:rPr>
                <w:rFonts w:hint="default" w:ascii="Times New Roman" w:hAnsi="Times New Roman" w:eastAsia="仿宋_GB2312" w:cs="Times New Roman"/>
                <w:sz w:val="30"/>
                <w:szCs w:val="30"/>
              </w:rPr>
              <w:t>编制完成《</w:t>
            </w:r>
            <w:r>
              <w:rPr>
                <w:rFonts w:hint="default" w:ascii="Times New Roman" w:hAnsi="Times New Roman" w:eastAsia="仿宋_GB2312" w:cs="Times New Roman"/>
                <w:sz w:val="30"/>
                <w:szCs w:val="30"/>
                <w:lang w:eastAsia="zh-CN"/>
              </w:rPr>
              <w:t>南充西充观音110kV变电站35kV配套工程</w:t>
            </w:r>
            <w:r>
              <w:rPr>
                <w:rFonts w:hint="default" w:ascii="Times New Roman" w:hAnsi="Times New Roman" w:eastAsia="仿宋_GB2312" w:cs="Times New Roman"/>
                <w:sz w:val="30"/>
                <w:szCs w:val="30"/>
              </w:rPr>
              <w:t>水土保持方案报告表（送审稿）》。</w:t>
            </w:r>
          </w:p>
          <w:p>
            <w:pPr>
              <w:snapToGrid w:val="0"/>
              <w:spacing w:line="560" w:lineRule="exact"/>
              <w:ind w:firstLine="555"/>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20</w:t>
            </w:r>
            <w:r>
              <w:rPr>
                <w:rFonts w:hint="eastAsia" w:ascii="Times New Roman" w:hAnsi="Times New Roman" w:eastAsia="仿宋_GB2312" w:cs="Times New Roman"/>
                <w:sz w:val="30"/>
                <w:szCs w:val="30"/>
                <w:lang w:val="en-US" w:eastAsia="zh-CN"/>
              </w:rPr>
              <w:t>20</w:t>
            </w:r>
            <w:r>
              <w:rPr>
                <w:rFonts w:hint="default" w:ascii="Times New Roman" w:hAnsi="Times New Roman" w:eastAsia="仿宋_GB2312" w:cs="Times New Roman"/>
                <w:sz w:val="30"/>
                <w:szCs w:val="30"/>
              </w:rPr>
              <w:t>年</w:t>
            </w:r>
            <w:r>
              <w:rPr>
                <w:rFonts w:hint="eastAsia" w:ascii="Times New Roman" w:hAnsi="Times New Roman" w:eastAsia="仿宋_GB2312" w:cs="Times New Roman"/>
                <w:sz w:val="30"/>
                <w:szCs w:val="30"/>
                <w:lang w:val="en-US" w:eastAsia="zh-CN"/>
              </w:rPr>
              <w:t>3</w:t>
            </w:r>
            <w:r>
              <w:rPr>
                <w:rFonts w:hint="default" w:ascii="Times New Roman" w:hAnsi="Times New Roman" w:eastAsia="仿宋_GB2312" w:cs="Times New Roman"/>
                <w:sz w:val="30"/>
                <w:szCs w:val="30"/>
              </w:rPr>
              <w:t>月</w:t>
            </w:r>
            <w:r>
              <w:rPr>
                <w:rFonts w:hint="eastAsia" w:ascii="Times New Roman" w:hAnsi="Times New Roman" w:eastAsia="仿宋_GB2312" w:cs="Times New Roman"/>
                <w:sz w:val="30"/>
                <w:szCs w:val="30"/>
                <w:lang w:val="en-US" w:eastAsia="zh-CN"/>
              </w:rPr>
              <w:t>30</w:t>
            </w:r>
            <w:r>
              <w:rPr>
                <w:rFonts w:hint="default" w:ascii="Times New Roman" w:hAnsi="Times New Roman" w:eastAsia="仿宋_GB2312" w:cs="Times New Roman"/>
                <w:sz w:val="30"/>
                <w:szCs w:val="30"/>
              </w:rPr>
              <w:t>日，</w:t>
            </w:r>
            <w:r>
              <w:rPr>
                <w:rFonts w:hint="eastAsia" w:ascii="Times New Roman" w:hAnsi="Times New Roman" w:eastAsia="仿宋_GB2312" w:cs="Times New Roman"/>
                <w:sz w:val="30"/>
                <w:szCs w:val="30"/>
                <w:lang w:eastAsia="zh-CN"/>
              </w:rPr>
              <w:t>西充县水务局</w:t>
            </w:r>
            <w:r>
              <w:rPr>
                <w:rFonts w:hint="default" w:ascii="Times New Roman" w:hAnsi="Times New Roman" w:eastAsia="仿宋_GB2312" w:cs="Times New Roman"/>
                <w:sz w:val="30"/>
                <w:szCs w:val="30"/>
              </w:rPr>
              <w:t>出具了《</w:t>
            </w:r>
            <w:r>
              <w:rPr>
                <w:rFonts w:hint="default" w:ascii="Times New Roman" w:hAnsi="Times New Roman" w:eastAsia="仿宋_GB2312" w:cs="Times New Roman"/>
                <w:sz w:val="30"/>
                <w:szCs w:val="30"/>
                <w:lang w:eastAsia="zh-CN"/>
              </w:rPr>
              <w:t>南充西充观音110kV变电站35kV配套工程</w:t>
            </w:r>
            <w:r>
              <w:rPr>
                <w:rFonts w:hint="default" w:ascii="Times New Roman" w:hAnsi="Times New Roman" w:eastAsia="仿宋_GB2312" w:cs="Times New Roman"/>
                <w:sz w:val="30"/>
                <w:szCs w:val="30"/>
              </w:rPr>
              <w:t>水土保持方案报告表》的审批意见；</w:t>
            </w:r>
          </w:p>
          <w:p>
            <w:pPr>
              <w:snapToGrid w:val="0"/>
              <w:spacing w:line="560" w:lineRule="exact"/>
              <w:ind w:firstLine="555"/>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西充县水务局批复南充西充观音110kV变电站35kV配套工程水土保持方案主要内容为：</w:t>
            </w:r>
          </w:p>
          <w:p>
            <w:pPr>
              <w:snapToGrid w:val="0"/>
              <w:spacing w:line="56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1、批复工程总占地0.73hm²；</w:t>
            </w:r>
          </w:p>
          <w:p>
            <w:pPr>
              <w:snapToGrid w:val="0"/>
              <w:spacing w:line="56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2、批复水土保持估算26.26万元，其中工程措施2.70万元、植物措施1.37万元、临时措施0.93万元、独立费用19.10万元、基本预备费1.21万元，水土保持补偿费0.95万元。</w:t>
            </w:r>
          </w:p>
          <w:p>
            <w:pPr>
              <w:snapToGrid w:val="0"/>
              <w:spacing w:line="56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3、要求业主单位落实三同时制度；</w:t>
            </w:r>
          </w:p>
          <w:p>
            <w:pPr>
              <w:snapToGrid w:val="0"/>
              <w:spacing w:line="560" w:lineRule="exact"/>
              <w:ind w:firstLine="600" w:firstLineChars="200"/>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rPr>
              <w:t>4、要求项目完工后，及时组织自主竣工验收并报水行政主管部门备案</w:t>
            </w:r>
            <w:r>
              <w:rPr>
                <w:rFonts w:hint="default" w:ascii="Times New Roman" w:hAnsi="Times New Roman" w:eastAsia="仿宋_GB2312" w:cs="Times New Roman"/>
                <w:sz w:val="30"/>
                <w:szCs w:val="30"/>
                <w:lang w:val="en-US" w:eastAsia="zh-CN"/>
              </w:rPr>
              <w:t>。</w:t>
            </w:r>
          </w:p>
          <w:p>
            <w:pPr>
              <w:snapToGrid w:val="0"/>
              <w:spacing w:line="560" w:lineRule="exact"/>
              <w:ind w:firstLine="600" w:firstLineChars="200"/>
              <w:rPr>
                <w:rFonts w:hint="default" w:ascii="Times New Roman" w:hAnsi="Times New Roman" w:eastAsia="仿宋_GB2312" w:cs="Times New Roman"/>
                <w:sz w:val="30"/>
                <w:szCs w:val="30"/>
                <w:lang w:eastAsia="zh-CN"/>
              </w:rPr>
            </w:pPr>
            <w:r>
              <w:rPr>
                <w:rFonts w:hint="default" w:ascii="Times New Roman" w:hAnsi="Times New Roman" w:eastAsia="仿宋_GB2312" w:cs="Times New Roman"/>
                <w:sz w:val="30"/>
                <w:szCs w:val="30"/>
                <w:lang w:eastAsia="zh-CN"/>
              </w:rPr>
              <w:t>（三）水土保持初步设计情况</w:t>
            </w:r>
          </w:p>
          <w:p>
            <w:pPr>
              <w:snapToGrid w:val="0"/>
              <w:spacing w:line="560" w:lineRule="exact"/>
              <w:ind w:firstLine="600" w:firstLineChars="200"/>
              <w:rPr>
                <w:rFonts w:hint="default" w:ascii="Times New Roman" w:hAnsi="Times New Roman" w:eastAsia="仿宋_GB2312" w:cs="Times New Roman"/>
                <w:sz w:val="30"/>
                <w:szCs w:val="30"/>
                <w:lang w:eastAsia="zh-CN"/>
              </w:rPr>
            </w:pPr>
            <w:r>
              <w:rPr>
                <w:rFonts w:hint="default" w:ascii="Times New Roman" w:hAnsi="Times New Roman" w:eastAsia="仿宋_GB2312" w:cs="Times New Roman"/>
                <w:sz w:val="30"/>
                <w:szCs w:val="30"/>
                <w:lang w:eastAsia="zh-CN"/>
              </w:rPr>
              <w:t>项目水土保持措施后续设计纳入主体工程一并进行设计，设计单位为</w:t>
            </w:r>
            <w:r>
              <w:rPr>
                <w:rFonts w:hint="default" w:ascii="Times New Roman" w:hAnsi="Times New Roman" w:eastAsia="仿宋_GB2312" w:cs="Times New Roman"/>
                <w:color w:val="000000" w:themeColor="text1"/>
                <w:kern w:val="0"/>
                <w:sz w:val="30"/>
                <w:szCs w:val="30"/>
                <w:lang w:eastAsia="zh-CN"/>
                <w14:textFill>
                  <w14:solidFill>
                    <w14:schemeClr w14:val="tx1"/>
                  </w14:solidFill>
                </w14:textFill>
              </w:rPr>
              <w:t>四川南充电力设计有限公司</w:t>
            </w:r>
            <w:r>
              <w:rPr>
                <w:rFonts w:hint="default" w:ascii="Times New Roman" w:hAnsi="Times New Roman" w:eastAsia="仿宋_GB2312" w:cs="Times New Roman"/>
                <w:sz w:val="30"/>
                <w:szCs w:val="30"/>
                <w:lang w:eastAsia="zh-CN"/>
              </w:rPr>
              <w:t>。</w:t>
            </w:r>
          </w:p>
          <w:p>
            <w:pPr>
              <w:snapToGrid w:val="0"/>
              <w:spacing w:line="56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w:t>
            </w:r>
            <w:r>
              <w:rPr>
                <w:rFonts w:hint="eastAsia" w:ascii="Times New Roman" w:hAnsi="Times New Roman" w:eastAsia="仿宋_GB2312" w:cs="Times New Roman"/>
                <w:sz w:val="30"/>
                <w:szCs w:val="30"/>
                <w:lang w:val="en-US" w:eastAsia="zh-CN"/>
              </w:rPr>
              <w:t>四</w:t>
            </w:r>
            <w:r>
              <w:rPr>
                <w:rFonts w:hint="default" w:ascii="Times New Roman" w:hAnsi="Times New Roman" w:eastAsia="仿宋_GB2312" w:cs="Times New Roman"/>
                <w:sz w:val="30"/>
                <w:szCs w:val="30"/>
              </w:rPr>
              <w:t xml:space="preserve">）验收报告编制情况和主要结论 </w:t>
            </w:r>
          </w:p>
          <w:p>
            <w:pPr>
              <w:snapToGrid w:val="0"/>
              <w:spacing w:line="56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2020 年12月，建设单位委托四川眉山华能工程技术咨询设计有限公司编制该项目水土保持设施验收报告，2021年1月，受托单位完成《南充西充观音110kV变电站35kV配套工程水土保持设施验收报告》编制工作，报告主要结论为：</w:t>
            </w:r>
          </w:p>
          <w:p>
            <w:pPr>
              <w:snapToGrid w:val="0"/>
              <w:spacing w:line="56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1.总体结论：建设单位在工程建设过程中，积极落实水土保持三同时制度，水土保持方案报批手续齐备，水土保持管理机构健全，制度建设及档案管理规范，采取了工程措施、植物措施与管理措施相结合的水土保持措施，形成较为完整的水土流失防护体系。</w:t>
            </w:r>
          </w:p>
          <w:p>
            <w:pPr>
              <w:snapToGrid w:val="0"/>
              <w:spacing w:line="56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2.防治责任范围符合方案批复，项目实际水土保持防治责任范围与方案批复一致，为0.73hm²。</w:t>
            </w:r>
          </w:p>
          <w:p>
            <w:pPr>
              <w:snapToGrid w:val="0"/>
              <w:spacing w:line="56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3.工程量符合批复的水土保持方案，完成的工程量为：工程措施：排水沟30m³，表土剥离510m³，绿化覆土510m³，土地整治0.38hm²；植物措施：植物措施面积0.60hm²，撒播草籽46.40kg，栽植灌木250株；临时措施：土袋17.22m³，密目网遮盖1000m²。工程量符合</w:t>
            </w:r>
          </w:p>
          <w:p>
            <w:pPr>
              <w:snapToGrid w:val="0"/>
              <w:spacing w:line="56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 xml:space="preserve">4.投资满足批复要求，完成水土保持投资25.88万元，占批复投资的99%，其中工程措施2.70万元、植物措施1.17万元、临时措施0.83万元、独立费用19.10万元、基本预备费1.13万元，水土保持补偿费0.95万元。 </w:t>
            </w:r>
          </w:p>
          <w:p>
            <w:pPr>
              <w:snapToGrid w:val="0"/>
              <w:spacing w:line="560" w:lineRule="exact"/>
              <w:ind w:firstLine="600" w:firstLineChars="200"/>
              <w:rPr>
                <w:rFonts w:hint="default" w:ascii="Times New Roman" w:hAnsi="Times New Roman" w:eastAsia="仿宋_GB2312" w:cs="Times New Roman"/>
                <w:sz w:val="30"/>
                <w:szCs w:val="30"/>
                <w:lang w:eastAsia="zh-CN"/>
              </w:rPr>
            </w:pPr>
            <w:r>
              <w:rPr>
                <w:rFonts w:hint="default" w:ascii="Times New Roman" w:hAnsi="Times New Roman" w:eastAsia="仿宋_GB2312" w:cs="Times New Roman"/>
                <w:sz w:val="30"/>
                <w:szCs w:val="30"/>
              </w:rPr>
              <w:t>5.防治目标达到了批复方案要求，防治责任范围内水土流失治理度为100%，土壤流失控制比为1.0，渣土防护率96%，表土保护率97%，林草植被恢复率100%，林草覆盖率为82.19%</w:t>
            </w:r>
            <w:r>
              <w:rPr>
                <w:rFonts w:hint="default" w:ascii="Times New Roman" w:hAnsi="Times New Roman" w:eastAsia="仿宋_GB2312" w:cs="Times New Roman"/>
                <w:sz w:val="30"/>
                <w:szCs w:val="30"/>
                <w:lang w:val="en-US" w:eastAsia="zh-CN"/>
              </w:rPr>
              <w:t>。</w:t>
            </w:r>
          </w:p>
          <w:p>
            <w:pPr>
              <w:snapToGrid w:val="0"/>
              <w:spacing w:line="56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lang w:eastAsia="zh-CN"/>
              </w:rPr>
              <w:t>（</w:t>
            </w:r>
            <w:r>
              <w:rPr>
                <w:rFonts w:hint="eastAsia" w:ascii="Times New Roman" w:hAnsi="Times New Roman" w:eastAsia="仿宋_GB2312" w:cs="Times New Roman"/>
                <w:sz w:val="30"/>
                <w:szCs w:val="30"/>
                <w:lang w:val="en-US" w:eastAsia="zh-CN"/>
              </w:rPr>
              <w:t>五</w:t>
            </w:r>
            <w:r>
              <w:rPr>
                <w:rFonts w:hint="default" w:ascii="Times New Roman" w:hAnsi="Times New Roman" w:eastAsia="仿宋_GB2312" w:cs="Times New Roman"/>
                <w:sz w:val="30"/>
                <w:szCs w:val="30"/>
                <w:lang w:eastAsia="zh-CN"/>
              </w:rPr>
              <w:t>）验收结论</w:t>
            </w:r>
            <w:r>
              <w:rPr>
                <w:rFonts w:hint="default" w:ascii="Times New Roman" w:hAnsi="Times New Roman" w:eastAsia="仿宋_GB2312" w:cs="Times New Roman"/>
                <w:sz w:val="30"/>
                <w:szCs w:val="30"/>
              </w:rPr>
              <w:t xml:space="preserve"> </w:t>
            </w:r>
          </w:p>
          <w:p>
            <w:pPr>
              <w:snapToGrid w:val="0"/>
              <w:spacing w:line="560" w:lineRule="exact"/>
              <w:ind w:firstLine="600" w:firstLineChars="200"/>
              <w:rPr>
                <w:rFonts w:hint="default" w:ascii="Times New Roman" w:hAnsi="Times New Roman" w:eastAsia="仿宋_GB2312" w:cs="Times New Roman"/>
                <w:color w:val="auto"/>
                <w:sz w:val="30"/>
                <w:szCs w:val="30"/>
                <w:lang w:eastAsia="zh-CN"/>
              </w:rPr>
            </w:pPr>
            <w:r>
              <w:rPr>
                <w:rFonts w:hint="default" w:ascii="Times New Roman" w:hAnsi="Times New Roman" w:eastAsia="仿宋_GB2312" w:cs="Times New Roman"/>
                <w:color w:val="auto"/>
                <w:sz w:val="30"/>
                <w:szCs w:val="30"/>
                <w:lang w:eastAsia="zh-CN"/>
              </w:rPr>
              <w:t>（1）本项目按照要求编报了水土保持方案，工程无重大变更，水土保持方案报批手续完备；</w:t>
            </w:r>
          </w:p>
          <w:p>
            <w:pPr>
              <w:snapToGrid w:val="0"/>
              <w:spacing w:line="560" w:lineRule="exact"/>
              <w:ind w:firstLine="600" w:firstLineChars="200"/>
              <w:rPr>
                <w:rFonts w:hint="default" w:ascii="Times New Roman" w:hAnsi="Times New Roman" w:eastAsia="仿宋_GB2312" w:cs="Times New Roman"/>
                <w:color w:val="auto"/>
                <w:sz w:val="30"/>
                <w:szCs w:val="30"/>
                <w:lang w:eastAsia="zh-CN"/>
              </w:rPr>
            </w:pPr>
            <w:r>
              <w:rPr>
                <w:rFonts w:hint="default" w:ascii="Times New Roman" w:hAnsi="Times New Roman" w:eastAsia="仿宋_GB2312" w:cs="Times New Roman"/>
                <w:color w:val="auto"/>
                <w:sz w:val="30"/>
                <w:szCs w:val="30"/>
                <w:lang w:eastAsia="zh-CN"/>
              </w:rPr>
              <w:t>（2）水土保持设施验收报告等资料较齐，成果可靠；</w:t>
            </w:r>
          </w:p>
          <w:p>
            <w:pPr>
              <w:snapToGrid w:val="0"/>
              <w:spacing w:line="560" w:lineRule="exact"/>
              <w:ind w:firstLine="600" w:firstLineChars="200"/>
              <w:rPr>
                <w:rFonts w:hint="default" w:ascii="Times New Roman" w:hAnsi="Times New Roman" w:eastAsia="仿宋_GB2312" w:cs="Times New Roman"/>
                <w:color w:val="auto"/>
                <w:sz w:val="30"/>
                <w:szCs w:val="30"/>
                <w:lang w:eastAsia="zh-CN"/>
              </w:rPr>
            </w:pPr>
            <w:r>
              <w:rPr>
                <w:rFonts w:hint="default" w:ascii="Times New Roman" w:hAnsi="Times New Roman" w:eastAsia="仿宋_GB2312" w:cs="Times New Roman"/>
                <w:color w:val="auto"/>
                <w:sz w:val="30"/>
                <w:szCs w:val="30"/>
                <w:lang w:eastAsia="zh-CN"/>
              </w:rPr>
              <w:t>（3）水土保持措施体系、等级和标准基本上按照批准的水土保持方案要求进行落实；</w:t>
            </w:r>
          </w:p>
          <w:p>
            <w:pPr>
              <w:snapToGrid w:val="0"/>
              <w:spacing w:line="560" w:lineRule="exact"/>
              <w:ind w:firstLine="600" w:firstLineChars="200"/>
              <w:rPr>
                <w:rFonts w:hint="default" w:ascii="Times New Roman" w:hAnsi="Times New Roman" w:eastAsia="仿宋_GB2312" w:cs="Times New Roman"/>
                <w:color w:val="auto"/>
                <w:sz w:val="30"/>
                <w:szCs w:val="30"/>
                <w:lang w:eastAsia="zh-CN"/>
              </w:rPr>
            </w:pPr>
            <w:r>
              <w:rPr>
                <w:rFonts w:hint="default" w:ascii="Times New Roman" w:hAnsi="Times New Roman" w:eastAsia="仿宋_GB2312" w:cs="Times New Roman"/>
                <w:color w:val="auto"/>
                <w:sz w:val="30"/>
                <w:szCs w:val="30"/>
                <w:lang w:eastAsia="zh-CN"/>
              </w:rPr>
              <w:t>（4）水土流失防治指标达到了经批准的水土保持方案要求；</w:t>
            </w:r>
          </w:p>
          <w:p>
            <w:pPr>
              <w:snapToGrid w:val="0"/>
              <w:spacing w:line="560" w:lineRule="exact"/>
              <w:ind w:firstLine="600" w:firstLineChars="200"/>
              <w:rPr>
                <w:rFonts w:hint="default" w:ascii="Times New Roman" w:hAnsi="Times New Roman" w:eastAsia="仿宋_GB2312" w:cs="Times New Roman"/>
                <w:color w:val="auto"/>
                <w:sz w:val="30"/>
                <w:szCs w:val="30"/>
                <w:lang w:eastAsia="zh-CN"/>
              </w:rPr>
            </w:pPr>
            <w:r>
              <w:rPr>
                <w:rFonts w:hint="default" w:ascii="Times New Roman" w:hAnsi="Times New Roman" w:eastAsia="仿宋_GB2312" w:cs="Times New Roman"/>
                <w:color w:val="auto"/>
                <w:sz w:val="30"/>
                <w:szCs w:val="30"/>
                <w:lang w:eastAsia="zh-CN"/>
              </w:rPr>
              <w:t>（5）水土保持设施质量全部为合格；</w:t>
            </w:r>
          </w:p>
          <w:p>
            <w:pPr>
              <w:snapToGrid w:val="0"/>
              <w:spacing w:line="560" w:lineRule="exact"/>
              <w:ind w:firstLine="600" w:firstLineChars="200"/>
              <w:rPr>
                <w:rFonts w:hint="default" w:ascii="Times New Roman" w:hAnsi="Times New Roman" w:eastAsia="仿宋_GB2312" w:cs="Times New Roman"/>
                <w:color w:val="auto"/>
                <w:sz w:val="30"/>
                <w:szCs w:val="30"/>
                <w:lang w:eastAsia="zh-CN"/>
              </w:rPr>
            </w:pPr>
            <w:r>
              <w:rPr>
                <w:rFonts w:hint="default" w:ascii="Times New Roman" w:hAnsi="Times New Roman" w:eastAsia="仿宋_GB2312" w:cs="Times New Roman"/>
                <w:color w:val="auto"/>
                <w:sz w:val="30"/>
                <w:szCs w:val="30"/>
                <w:lang w:eastAsia="zh-CN"/>
              </w:rPr>
              <w:t>（6）本项目依法依规缴纳了水土保持补偿费；</w:t>
            </w:r>
          </w:p>
          <w:p>
            <w:pPr>
              <w:snapToGrid w:val="0"/>
              <w:spacing w:line="560" w:lineRule="exact"/>
              <w:ind w:firstLine="600" w:firstLineChars="200"/>
              <w:rPr>
                <w:rFonts w:hint="default" w:ascii="Times New Roman" w:hAnsi="Times New Roman" w:eastAsia="仿宋_GB2312" w:cs="Times New Roman"/>
                <w:color w:val="auto"/>
                <w:sz w:val="30"/>
                <w:szCs w:val="30"/>
                <w:lang w:eastAsia="zh-CN"/>
              </w:rPr>
            </w:pPr>
            <w:r>
              <w:rPr>
                <w:rFonts w:hint="default" w:ascii="Times New Roman" w:hAnsi="Times New Roman" w:eastAsia="仿宋_GB2312" w:cs="Times New Roman"/>
                <w:color w:val="auto"/>
                <w:sz w:val="30"/>
                <w:szCs w:val="30"/>
                <w:lang w:eastAsia="zh-CN"/>
              </w:rPr>
              <w:t>（7）本项目不存在其它不符合相关法律法规规定情形；</w:t>
            </w:r>
          </w:p>
          <w:p>
            <w:pPr>
              <w:snapToGrid w:val="0"/>
              <w:spacing w:line="560" w:lineRule="exact"/>
              <w:ind w:firstLine="600" w:firstLineChars="200"/>
              <w:rPr>
                <w:rFonts w:hint="default" w:ascii="Times New Roman" w:hAnsi="Times New Roman" w:eastAsia="仿宋_GB2312" w:cs="Times New Roman"/>
                <w:color w:val="auto"/>
                <w:sz w:val="30"/>
                <w:szCs w:val="30"/>
                <w:lang w:eastAsia="zh-CN"/>
              </w:rPr>
            </w:pPr>
            <w:r>
              <w:rPr>
                <w:rFonts w:hint="default" w:ascii="Times New Roman" w:hAnsi="Times New Roman" w:eastAsia="仿宋_GB2312" w:cs="Times New Roman"/>
                <w:color w:val="auto"/>
                <w:sz w:val="30"/>
                <w:szCs w:val="30"/>
                <w:lang w:eastAsia="zh-CN"/>
              </w:rPr>
              <w:t>（8）水土保持设施运行正常，满足交付使用条件。</w:t>
            </w:r>
          </w:p>
          <w:p>
            <w:pPr>
              <w:snapToGrid w:val="0"/>
              <w:spacing w:line="560" w:lineRule="exact"/>
              <w:ind w:firstLine="600" w:firstLineChars="200"/>
              <w:rPr>
                <w:rFonts w:hint="default" w:ascii="Times New Roman" w:hAnsi="Times New Roman" w:eastAsia="仿宋_GB2312" w:cs="Times New Roman"/>
                <w:sz w:val="30"/>
                <w:szCs w:val="30"/>
                <w:lang w:eastAsia="zh-CN"/>
              </w:rPr>
            </w:pPr>
            <w:r>
              <w:rPr>
                <w:rFonts w:hint="default" w:ascii="Times New Roman" w:hAnsi="Times New Roman" w:eastAsia="仿宋_GB2312" w:cs="Times New Roman"/>
                <w:color w:val="auto"/>
                <w:sz w:val="30"/>
                <w:szCs w:val="30"/>
                <w:lang w:eastAsia="zh-CN"/>
              </w:rPr>
              <w:t>综上，该项目水土保持设施满足验收条件，同意该项目水土保持设施通过验收</w:t>
            </w:r>
            <w:r>
              <w:rPr>
                <w:rFonts w:hint="default" w:ascii="Times New Roman" w:hAnsi="Times New Roman" w:eastAsia="仿宋_GB2312" w:cs="Times New Roman"/>
                <w:sz w:val="30"/>
                <w:szCs w:val="30"/>
                <w:lang w:eastAsia="zh-CN"/>
              </w:rPr>
              <w:t>。</w:t>
            </w:r>
          </w:p>
          <w:p>
            <w:pPr>
              <w:snapToGrid w:val="0"/>
              <w:spacing w:line="56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lang w:eastAsia="zh-CN"/>
              </w:rPr>
              <w:t>（</w:t>
            </w:r>
            <w:r>
              <w:rPr>
                <w:rFonts w:hint="eastAsia" w:ascii="Times New Roman" w:hAnsi="Times New Roman" w:eastAsia="仿宋_GB2312" w:cs="Times New Roman"/>
                <w:sz w:val="30"/>
                <w:szCs w:val="30"/>
                <w:lang w:val="en-US" w:eastAsia="zh-CN"/>
              </w:rPr>
              <w:t>六</w:t>
            </w:r>
            <w:r>
              <w:rPr>
                <w:rFonts w:hint="default" w:ascii="Times New Roman" w:hAnsi="Times New Roman" w:eastAsia="仿宋_GB2312" w:cs="Times New Roman"/>
                <w:sz w:val="30"/>
                <w:szCs w:val="30"/>
                <w:lang w:eastAsia="zh-CN"/>
              </w:rPr>
              <w:t>）后续管护要求</w:t>
            </w:r>
          </w:p>
          <w:p>
            <w:pPr>
              <w:snapToGrid w:val="0"/>
              <w:spacing w:line="560" w:lineRule="exact"/>
              <w:ind w:firstLine="600" w:firstLineChars="200"/>
              <w:rPr>
                <w:rFonts w:hint="default" w:ascii="Times New Roman" w:hAnsi="Times New Roman" w:eastAsia="仿宋_GB2312" w:cs="Times New Roman"/>
                <w:sz w:val="30"/>
                <w:szCs w:val="30"/>
                <w:lang w:eastAsia="zh-CN"/>
              </w:rPr>
            </w:pPr>
            <w:r>
              <w:rPr>
                <w:rFonts w:hint="default" w:ascii="Times New Roman" w:hAnsi="Times New Roman" w:eastAsia="仿宋_GB2312" w:cs="Times New Roman"/>
                <w:sz w:val="30"/>
                <w:szCs w:val="30"/>
                <w:lang w:eastAsia="zh-CN"/>
              </w:rPr>
              <w:t>建设单位应定期对排水沟、沉沙池进行清淤，确保排水设施畅通，加强植被的抚育管理，适时补植林草植被，确保其水土保持功能的持续性和有效性，切实发挥其防治水土流失的作用。</w:t>
            </w:r>
          </w:p>
          <w:p>
            <w:pPr>
              <w:wordWrap w:val="0"/>
              <w:bidi w:val="0"/>
              <w:jc w:val="right"/>
              <w:rPr>
                <w:rFonts w:hint="default" w:ascii="Times New Roman" w:hAnsi="Times New Roman" w:eastAsia="仿宋_GB2312" w:cs="Times New Roman"/>
                <w:sz w:val="30"/>
                <w:szCs w:val="30"/>
                <w:lang w:val="en-US" w:eastAsia="zh-CN"/>
              </w:rPr>
            </w:pPr>
          </w:p>
          <w:p>
            <w:pPr>
              <w:wordWrap w:val="0"/>
              <w:bidi w:val="0"/>
              <w:jc w:val="right"/>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 xml:space="preserve">            </w:t>
            </w:r>
          </w:p>
          <w:p>
            <w:pPr>
              <w:pStyle w:val="3"/>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 xml:space="preserve">                               </w:t>
            </w:r>
          </w:p>
          <w:p>
            <w:pPr>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 xml:space="preserve">  </w:t>
            </w:r>
          </w:p>
        </w:tc>
      </w:tr>
    </w:tbl>
    <w:p>
      <w:pP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30"/>
          <w:szCs w:val="30"/>
        </w:rPr>
        <w:br w:type="page"/>
      </w:r>
    </w:p>
    <w:p>
      <w:pPr>
        <w:outlineLvl w:val="0"/>
        <w:rPr>
          <w:rFonts w:hint="eastAsia" w:ascii="Times New Roman" w:hAnsi="Times New Roman" w:eastAsia="仿宋_GB2312" w:cs="Times New Roman"/>
          <w:sz w:val="24"/>
          <w:szCs w:val="24"/>
          <w:lang w:eastAsia="zh-CN"/>
        </w:rPr>
      </w:pPr>
    </w:p>
    <w:p>
      <w:pPr>
        <w:outlineLvl w:val="0"/>
        <w:rPr>
          <w:rFonts w:hint="eastAsia"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lang w:eastAsia="zh-CN"/>
        </w:rPr>
        <w:drawing>
          <wp:inline distT="0" distB="0" distL="114300" distR="114300">
            <wp:extent cx="5753735" cy="8143240"/>
            <wp:effectExtent l="0" t="0" r="18415" b="10160"/>
            <wp:docPr id="1" name="图片 1" descr="签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签字"/>
                    <pic:cNvPicPr>
                      <a:picLocks noChangeAspect="1"/>
                    </pic:cNvPicPr>
                  </pic:nvPicPr>
                  <pic:blipFill>
                    <a:blip r:embed="rId5"/>
                    <a:stretch>
                      <a:fillRect/>
                    </a:stretch>
                  </pic:blipFill>
                  <pic:spPr>
                    <a:xfrm>
                      <a:off x="0" y="0"/>
                      <a:ext cx="5753735" cy="8143240"/>
                    </a:xfrm>
                    <a:prstGeom prst="rect">
                      <a:avLst/>
                    </a:prstGeom>
                  </pic:spPr>
                </pic:pic>
              </a:graphicData>
            </a:graphic>
          </wp:inline>
        </w:drawing>
      </w:r>
      <w:bookmarkStart w:id="0" w:name="_GoBack"/>
      <w:bookmarkEnd w:id="0"/>
    </w:p>
    <w:p>
      <w:pPr>
        <w:outlineLvl w:val="0"/>
        <w:rPr>
          <w:rFonts w:hint="default" w:ascii="Times New Roman" w:hAnsi="Times New Roman" w:eastAsia="仿宋_GB2312" w:cs="Times New Roman"/>
          <w:sz w:val="24"/>
          <w:szCs w:val="24"/>
        </w:rPr>
      </w:pPr>
    </w:p>
    <w:p>
      <w:pPr>
        <w:pStyle w:val="2"/>
        <w:jc w:val="both"/>
        <w:rPr>
          <w:rFonts w:hint="default"/>
        </w:rPr>
      </w:pPr>
    </w:p>
    <w:sectPr>
      <w:footerReference r:id="rId3" w:type="default"/>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65645869"/>
      <w:showingPlcHdr/>
    </w:sdtPr>
    <w:sdtEndPr>
      <w:rPr>
        <w:sz w:val="21"/>
        <w:szCs w:val="21"/>
      </w:rPr>
    </w:sdtEndPr>
    <w:sdtContent>
      <w:p>
        <w:pPr>
          <w:pStyle w:val="9"/>
          <w:jc w:val="center"/>
        </w:pPr>
      </w:p>
    </w:sdtContent>
  </w:sdt>
  <w:p>
    <w:pPr>
      <w:pStyle w:val="9"/>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02B8"/>
    <w:rsid w:val="00002F3E"/>
    <w:rsid w:val="00011D76"/>
    <w:rsid w:val="00022A6D"/>
    <w:rsid w:val="00040743"/>
    <w:rsid w:val="000709AA"/>
    <w:rsid w:val="00082658"/>
    <w:rsid w:val="00082978"/>
    <w:rsid w:val="0009074A"/>
    <w:rsid w:val="000A3CB8"/>
    <w:rsid w:val="000B7C43"/>
    <w:rsid w:val="000C0EF2"/>
    <w:rsid w:val="000C2F1E"/>
    <w:rsid w:val="000C4BC1"/>
    <w:rsid w:val="000D5333"/>
    <w:rsid w:val="000E02D2"/>
    <w:rsid w:val="000F7719"/>
    <w:rsid w:val="00121F26"/>
    <w:rsid w:val="00123B43"/>
    <w:rsid w:val="00124563"/>
    <w:rsid w:val="001425D8"/>
    <w:rsid w:val="0014450C"/>
    <w:rsid w:val="00147D1F"/>
    <w:rsid w:val="0015092B"/>
    <w:rsid w:val="001557A9"/>
    <w:rsid w:val="00156391"/>
    <w:rsid w:val="00163519"/>
    <w:rsid w:val="0018135F"/>
    <w:rsid w:val="001A17F8"/>
    <w:rsid w:val="001A2D66"/>
    <w:rsid w:val="001A4031"/>
    <w:rsid w:val="001B2EF1"/>
    <w:rsid w:val="001B52B1"/>
    <w:rsid w:val="001C6048"/>
    <w:rsid w:val="001F0BBA"/>
    <w:rsid w:val="001F3CFD"/>
    <w:rsid w:val="00203374"/>
    <w:rsid w:val="00214665"/>
    <w:rsid w:val="002333EE"/>
    <w:rsid w:val="00272047"/>
    <w:rsid w:val="002904B6"/>
    <w:rsid w:val="00294EC7"/>
    <w:rsid w:val="00295E36"/>
    <w:rsid w:val="0029689C"/>
    <w:rsid w:val="002B34F6"/>
    <w:rsid w:val="002F4E04"/>
    <w:rsid w:val="002F5156"/>
    <w:rsid w:val="002F5B2C"/>
    <w:rsid w:val="00304C23"/>
    <w:rsid w:val="003062B4"/>
    <w:rsid w:val="003269C3"/>
    <w:rsid w:val="00350033"/>
    <w:rsid w:val="003813AF"/>
    <w:rsid w:val="00394DC6"/>
    <w:rsid w:val="00395B9D"/>
    <w:rsid w:val="003B7AE3"/>
    <w:rsid w:val="004503A8"/>
    <w:rsid w:val="004C1255"/>
    <w:rsid w:val="004E6602"/>
    <w:rsid w:val="004F1014"/>
    <w:rsid w:val="004F7EF3"/>
    <w:rsid w:val="005071BA"/>
    <w:rsid w:val="00526350"/>
    <w:rsid w:val="005618F5"/>
    <w:rsid w:val="00564257"/>
    <w:rsid w:val="00567BCA"/>
    <w:rsid w:val="00586F6C"/>
    <w:rsid w:val="00590CF7"/>
    <w:rsid w:val="005B1FE3"/>
    <w:rsid w:val="005B795A"/>
    <w:rsid w:val="005C0C1C"/>
    <w:rsid w:val="005D566F"/>
    <w:rsid w:val="005E772C"/>
    <w:rsid w:val="0060650B"/>
    <w:rsid w:val="0060686A"/>
    <w:rsid w:val="006136AF"/>
    <w:rsid w:val="006141A1"/>
    <w:rsid w:val="00630F38"/>
    <w:rsid w:val="00640D60"/>
    <w:rsid w:val="00645348"/>
    <w:rsid w:val="0064792E"/>
    <w:rsid w:val="00664455"/>
    <w:rsid w:val="006762DB"/>
    <w:rsid w:val="006856B0"/>
    <w:rsid w:val="006A1541"/>
    <w:rsid w:val="006B60C4"/>
    <w:rsid w:val="006F63D4"/>
    <w:rsid w:val="006F78CB"/>
    <w:rsid w:val="006F79E9"/>
    <w:rsid w:val="00712BD3"/>
    <w:rsid w:val="00721B32"/>
    <w:rsid w:val="00760C48"/>
    <w:rsid w:val="00761820"/>
    <w:rsid w:val="00774542"/>
    <w:rsid w:val="00784C91"/>
    <w:rsid w:val="007867BF"/>
    <w:rsid w:val="007A5EC0"/>
    <w:rsid w:val="007D3927"/>
    <w:rsid w:val="007D6536"/>
    <w:rsid w:val="0085376D"/>
    <w:rsid w:val="00882EF7"/>
    <w:rsid w:val="008904A3"/>
    <w:rsid w:val="00892D8B"/>
    <w:rsid w:val="008B5B80"/>
    <w:rsid w:val="008B64C3"/>
    <w:rsid w:val="008C3EDA"/>
    <w:rsid w:val="008E6DE6"/>
    <w:rsid w:val="00917CF2"/>
    <w:rsid w:val="00927C08"/>
    <w:rsid w:val="0093058E"/>
    <w:rsid w:val="009315A3"/>
    <w:rsid w:val="00942D44"/>
    <w:rsid w:val="00953906"/>
    <w:rsid w:val="00960422"/>
    <w:rsid w:val="00977DA1"/>
    <w:rsid w:val="00986992"/>
    <w:rsid w:val="009D124B"/>
    <w:rsid w:val="009E2926"/>
    <w:rsid w:val="009E2EC8"/>
    <w:rsid w:val="009F16F3"/>
    <w:rsid w:val="009F7A2E"/>
    <w:rsid w:val="00A01381"/>
    <w:rsid w:val="00A02338"/>
    <w:rsid w:val="00A332B3"/>
    <w:rsid w:val="00A45A17"/>
    <w:rsid w:val="00A81FFC"/>
    <w:rsid w:val="00AC7F71"/>
    <w:rsid w:val="00AE061F"/>
    <w:rsid w:val="00AF1409"/>
    <w:rsid w:val="00B05A8C"/>
    <w:rsid w:val="00B07F3D"/>
    <w:rsid w:val="00B137CF"/>
    <w:rsid w:val="00B13914"/>
    <w:rsid w:val="00B30E01"/>
    <w:rsid w:val="00B52C90"/>
    <w:rsid w:val="00B55BED"/>
    <w:rsid w:val="00B606FF"/>
    <w:rsid w:val="00B65F8F"/>
    <w:rsid w:val="00B731B2"/>
    <w:rsid w:val="00B76988"/>
    <w:rsid w:val="00B8444C"/>
    <w:rsid w:val="00BB7AEA"/>
    <w:rsid w:val="00BD5FEB"/>
    <w:rsid w:val="00BE235B"/>
    <w:rsid w:val="00BF09F1"/>
    <w:rsid w:val="00BF4FDA"/>
    <w:rsid w:val="00BF6E1D"/>
    <w:rsid w:val="00C019D2"/>
    <w:rsid w:val="00C55875"/>
    <w:rsid w:val="00C858BC"/>
    <w:rsid w:val="00C966C3"/>
    <w:rsid w:val="00CA63FD"/>
    <w:rsid w:val="00CB547A"/>
    <w:rsid w:val="00CC7D8D"/>
    <w:rsid w:val="00CD17F8"/>
    <w:rsid w:val="00CD3DEE"/>
    <w:rsid w:val="00CD5FCD"/>
    <w:rsid w:val="00CE15EB"/>
    <w:rsid w:val="00CF1C8B"/>
    <w:rsid w:val="00D21AC2"/>
    <w:rsid w:val="00D42B3D"/>
    <w:rsid w:val="00D83F20"/>
    <w:rsid w:val="00DA1C36"/>
    <w:rsid w:val="00DB5B10"/>
    <w:rsid w:val="00DC34FB"/>
    <w:rsid w:val="00DC3EA9"/>
    <w:rsid w:val="00DD5EF8"/>
    <w:rsid w:val="00DD6687"/>
    <w:rsid w:val="00DD7A57"/>
    <w:rsid w:val="00DE7761"/>
    <w:rsid w:val="00DF095B"/>
    <w:rsid w:val="00E233E6"/>
    <w:rsid w:val="00E23E35"/>
    <w:rsid w:val="00E5650E"/>
    <w:rsid w:val="00E65AB8"/>
    <w:rsid w:val="00E74FC4"/>
    <w:rsid w:val="00E85631"/>
    <w:rsid w:val="00E961F3"/>
    <w:rsid w:val="00EA46E2"/>
    <w:rsid w:val="00EA6245"/>
    <w:rsid w:val="00EE3078"/>
    <w:rsid w:val="00EE5717"/>
    <w:rsid w:val="00F05463"/>
    <w:rsid w:val="00F3144E"/>
    <w:rsid w:val="00F462B4"/>
    <w:rsid w:val="00F46EFB"/>
    <w:rsid w:val="00F55F75"/>
    <w:rsid w:val="00F702B8"/>
    <w:rsid w:val="00F75FEC"/>
    <w:rsid w:val="00F845EC"/>
    <w:rsid w:val="00FC5A87"/>
    <w:rsid w:val="00FD30B7"/>
    <w:rsid w:val="07E825BB"/>
    <w:rsid w:val="09FC2645"/>
    <w:rsid w:val="0D5E0E82"/>
    <w:rsid w:val="0DEB56B0"/>
    <w:rsid w:val="0EDF3E41"/>
    <w:rsid w:val="0EE61962"/>
    <w:rsid w:val="0F5F1B68"/>
    <w:rsid w:val="0FFC7FDA"/>
    <w:rsid w:val="10103865"/>
    <w:rsid w:val="10143155"/>
    <w:rsid w:val="10D44043"/>
    <w:rsid w:val="112D3617"/>
    <w:rsid w:val="116114EB"/>
    <w:rsid w:val="11902316"/>
    <w:rsid w:val="125A0ED5"/>
    <w:rsid w:val="151024D2"/>
    <w:rsid w:val="15ED418E"/>
    <w:rsid w:val="16DA5820"/>
    <w:rsid w:val="19987176"/>
    <w:rsid w:val="1EA33F59"/>
    <w:rsid w:val="20464967"/>
    <w:rsid w:val="22FC3291"/>
    <w:rsid w:val="253B7BF6"/>
    <w:rsid w:val="25DA0B1E"/>
    <w:rsid w:val="28687287"/>
    <w:rsid w:val="2A162131"/>
    <w:rsid w:val="2A826B57"/>
    <w:rsid w:val="2F2668FE"/>
    <w:rsid w:val="2F9E3737"/>
    <w:rsid w:val="30774076"/>
    <w:rsid w:val="310339CB"/>
    <w:rsid w:val="32604DA4"/>
    <w:rsid w:val="32755446"/>
    <w:rsid w:val="33576819"/>
    <w:rsid w:val="34EA0D5D"/>
    <w:rsid w:val="358A245B"/>
    <w:rsid w:val="368A3B5B"/>
    <w:rsid w:val="38126C10"/>
    <w:rsid w:val="3B5C4B64"/>
    <w:rsid w:val="3D4C5514"/>
    <w:rsid w:val="3FC544D7"/>
    <w:rsid w:val="40B84A47"/>
    <w:rsid w:val="41DC1E7A"/>
    <w:rsid w:val="43B1748E"/>
    <w:rsid w:val="43B873C2"/>
    <w:rsid w:val="47E345A2"/>
    <w:rsid w:val="4B497E36"/>
    <w:rsid w:val="50F34AC4"/>
    <w:rsid w:val="516931C6"/>
    <w:rsid w:val="517E2DC9"/>
    <w:rsid w:val="51CC6B8D"/>
    <w:rsid w:val="52B503DE"/>
    <w:rsid w:val="54871BB9"/>
    <w:rsid w:val="54AE625D"/>
    <w:rsid w:val="578A1519"/>
    <w:rsid w:val="5AAA1526"/>
    <w:rsid w:val="5B7177C0"/>
    <w:rsid w:val="5BDD6EAB"/>
    <w:rsid w:val="5BE13F3E"/>
    <w:rsid w:val="5C777B12"/>
    <w:rsid w:val="5CBA6CDE"/>
    <w:rsid w:val="5CC377EB"/>
    <w:rsid w:val="5CFC1731"/>
    <w:rsid w:val="6029539C"/>
    <w:rsid w:val="61574337"/>
    <w:rsid w:val="61B667D3"/>
    <w:rsid w:val="61F733A6"/>
    <w:rsid w:val="628375EC"/>
    <w:rsid w:val="63650325"/>
    <w:rsid w:val="638D2B24"/>
    <w:rsid w:val="65336899"/>
    <w:rsid w:val="663D530E"/>
    <w:rsid w:val="67324A09"/>
    <w:rsid w:val="69163354"/>
    <w:rsid w:val="699B1B96"/>
    <w:rsid w:val="6BCC78CE"/>
    <w:rsid w:val="6DF32648"/>
    <w:rsid w:val="6E782EC4"/>
    <w:rsid w:val="6FB90AD6"/>
    <w:rsid w:val="71594709"/>
    <w:rsid w:val="7481619E"/>
    <w:rsid w:val="74A076BB"/>
    <w:rsid w:val="7587012F"/>
    <w:rsid w:val="778C1C90"/>
    <w:rsid w:val="77BB13E2"/>
    <w:rsid w:val="77D00B97"/>
    <w:rsid w:val="79EE763B"/>
    <w:rsid w:val="7A5416CA"/>
    <w:rsid w:val="7B8755AA"/>
    <w:rsid w:val="7DC30A6D"/>
    <w:rsid w:val="7E8D0BE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17"/>
    <w:qFormat/>
    <w:uiPriority w:val="0"/>
    <w:pPr>
      <w:keepNext/>
      <w:keepLines/>
      <w:snapToGrid w:val="0"/>
      <w:spacing w:line="360" w:lineRule="auto"/>
      <w:ind w:firstLine="640" w:firstLineChars="200"/>
      <w:jc w:val="left"/>
      <w:outlineLvl w:val="0"/>
    </w:pPr>
    <w:rPr>
      <w:rFonts w:ascii="黑体" w:hAnsi="黑体" w:eastAsia="黑体" w:cs="Times New Roman"/>
      <w:bCs/>
      <w:kern w:val="44"/>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customStyle="1" w:styleId="2">
    <w:name w:val="章标题"/>
    <w:basedOn w:val="1"/>
    <w:next w:val="3"/>
    <w:qFormat/>
    <w:uiPriority w:val="0"/>
    <w:pPr>
      <w:widowControl/>
      <w:spacing w:line="323" w:lineRule="atLeast"/>
      <w:ind w:right="-120"/>
      <w:jc w:val="center"/>
      <w:textAlignment w:val="baseline"/>
    </w:pPr>
    <w:rPr>
      <w:color w:val="FF0000"/>
      <w:kern w:val="0"/>
      <w:sz w:val="18"/>
      <w:szCs w:val="18"/>
    </w:rPr>
  </w:style>
  <w:style w:type="paragraph" w:customStyle="1" w:styleId="3">
    <w:name w:val="节标题"/>
    <w:basedOn w:val="1"/>
    <w:next w:val="1"/>
    <w:qFormat/>
    <w:uiPriority w:val="0"/>
    <w:pPr>
      <w:widowControl/>
      <w:spacing w:line="289" w:lineRule="atLeast"/>
      <w:jc w:val="center"/>
      <w:textAlignment w:val="baseline"/>
    </w:pPr>
    <w:rPr>
      <w:color w:val="000000"/>
      <w:kern w:val="0"/>
      <w:sz w:val="28"/>
      <w:szCs w:val="20"/>
      <w:u w:color="000000"/>
    </w:rPr>
  </w:style>
  <w:style w:type="paragraph" w:styleId="5">
    <w:name w:val="Document Map"/>
    <w:basedOn w:val="1"/>
    <w:link w:val="22"/>
    <w:semiHidden/>
    <w:unhideWhenUsed/>
    <w:qFormat/>
    <w:uiPriority w:val="99"/>
    <w:rPr>
      <w:rFonts w:ascii="宋体" w:eastAsia="宋体"/>
      <w:sz w:val="18"/>
      <w:szCs w:val="18"/>
    </w:rPr>
  </w:style>
  <w:style w:type="paragraph" w:styleId="6">
    <w:name w:val="annotation text"/>
    <w:basedOn w:val="1"/>
    <w:link w:val="23"/>
    <w:semiHidden/>
    <w:unhideWhenUsed/>
    <w:qFormat/>
    <w:uiPriority w:val="99"/>
    <w:pPr>
      <w:jc w:val="left"/>
    </w:pPr>
  </w:style>
  <w:style w:type="paragraph" w:styleId="7">
    <w:name w:val="Body Text Indent"/>
    <w:basedOn w:val="1"/>
    <w:link w:val="18"/>
    <w:qFormat/>
    <w:uiPriority w:val="0"/>
    <w:pPr>
      <w:widowControl/>
      <w:ind w:firstLine="675"/>
    </w:pPr>
    <w:rPr>
      <w:rFonts w:eastAsia="宋体"/>
      <w:sz w:val="28"/>
      <w:szCs w:val="28"/>
    </w:rPr>
  </w:style>
  <w:style w:type="paragraph" w:styleId="8">
    <w:name w:val="Balloon Text"/>
    <w:basedOn w:val="1"/>
    <w:link w:val="20"/>
    <w:unhideWhenUsed/>
    <w:qFormat/>
    <w:uiPriority w:val="99"/>
    <w:rPr>
      <w:sz w:val="18"/>
      <w:szCs w:val="18"/>
    </w:rPr>
  </w:style>
  <w:style w:type="paragraph" w:styleId="9">
    <w:name w:val="footer"/>
    <w:basedOn w:val="1"/>
    <w:link w:val="19"/>
    <w:unhideWhenUsed/>
    <w:qFormat/>
    <w:uiPriority w:val="99"/>
    <w:pPr>
      <w:tabs>
        <w:tab w:val="center" w:pos="4153"/>
        <w:tab w:val="right" w:pos="8306"/>
      </w:tabs>
      <w:snapToGrid w:val="0"/>
      <w:jc w:val="left"/>
    </w:pPr>
    <w:rPr>
      <w:sz w:val="18"/>
      <w:szCs w:val="18"/>
    </w:rPr>
  </w:style>
  <w:style w:type="paragraph" w:styleId="10">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annotation subject"/>
    <w:basedOn w:val="6"/>
    <w:next w:val="6"/>
    <w:link w:val="24"/>
    <w:semiHidden/>
    <w:unhideWhenUsed/>
    <w:qFormat/>
    <w:uiPriority w:val="99"/>
    <w:rPr>
      <w:b/>
      <w:bCs/>
    </w:rPr>
  </w:style>
  <w:style w:type="table" w:styleId="13">
    <w:name w:val="Table Grid"/>
    <w:basedOn w:val="12"/>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page number"/>
    <w:basedOn w:val="14"/>
    <w:qFormat/>
    <w:uiPriority w:val="0"/>
  </w:style>
  <w:style w:type="character" w:styleId="16">
    <w:name w:val="annotation reference"/>
    <w:basedOn w:val="14"/>
    <w:semiHidden/>
    <w:unhideWhenUsed/>
    <w:qFormat/>
    <w:uiPriority w:val="99"/>
    <w:rPr>
      <w:sz w:val="21"/>
      <w:szCs w:val="21"/>
    </w:rPr>
  </w:style>
  <w:style w:type="character" w:customStyle="1" w:styleId="17">
    <w:name w:val="标题 1 Char"/>
    <w:basedOn w:val="14"/>
    <w:link w:val="4"/>
    <w:qFormat/>
    <w:uiPriority w:val="0"/>
    <w:rPr>
      <w:rFonts w:ascii="黑体" w:hAnsi="黑体" w:eastAsia="黑体" w:cs="Times New Roman"/>
      <w:bCs/>
      <w:kern w:val="44"/>
      <w:sz w:val="32"/>
      <w:szCs w:val="32"/>
    </w:rPr>
  </w:style>
  <w:style w:type="character" w:customStyle="1" w:styleId="18">
    <w:name w:val="正文文本缩进 Char"/>
    <w:basedOn w:val="14"/>
    <w:link w:val="7"/>
    <w:qFormat/>
    <w:uiPriority w:val="0"/>
    <w:rPr>
      <w:rFonts w:eastAsia="宋体"/>
      <w:sz w:val="28"/>
      <w:szCs w:val="28"/>
    </w:rPr>
  </w:style>
  <w:style w:type="character" w:customStyle="1" w:styleId="19">
    <w:name w:val="页脚 Char"/>
    <w:basedOn w:val="14"/>
    <w:link w:val="9"/>
    <w:qFormat/>
    <w:uiPriority w:val="99"/>
    <w:rPr>
      <w:sz w:val="18"/>
      <w:szCs w:val="18"/>
    </w:rPr>
  </w:style>
  <w:style w:type="character" w:customStyle="1" w:styleId="20">
    <w:name w:val="批注框文本 Char"/>
    <w:basedOn w:val="14"/>
    <w:link w:val="8"/>
    <w:semiHidden/>
    <w:qFormat/>
    <w:uiPriority w:val="99"/>
    <w:rPr>
      <w:sz w:val="18"/>
      <w:szCs w:val="18"/>
    </w:rPr>
  </w:style>
  <w:style w:type="character" w:customStyle="1" w:styleId="21">
    <w:name w:val="页眉 Char"/>
    <w:basedOn w:val="14"/>
    <w:link w:val="10"/>
    <w:qFormat/>
    <w:uiPriority w:val="99"/>
    <w:rPr>
      <w:sz w:val="18"/>
      <w:szCs w:val="18"/>
    </w:rPr>
  </w:style>
  <w:style w:type="character" w:customStyle="1" w:styleId="22">
    <w:name w:val="文档结构图 Char"/>
    <w:basedOn w:val="14"/>
    <w:link w:val="5"/>
    <w:semiHidden/>
    <w:qFormat/>
    <w:uiPriority w:val="99"/>
    <w:rPr>
      <w:rFonts w:ascii="宋体" w:eastAsia="宋体"/>
      <w:kern w:val="2"/>
      <w:sz w:val="18"/>
      <w:szCs w:val="18"/>
    </w:rPr>
  </w:style>
  <w:style w:type="character" w:customStyle="1" w:styleId="23">
    <w:name w:val="批注文字 Char"/>
    <w:basedOn w:val="14"/>
    <w:link w:val="6"/>
    <w:semiHidden/>
    <w:qFormat/>
    <w:uiPriority w:val="99"/>
    <w:rPr>
      <w:rFonts w:asciiTheme="minorHAnsi" w:hAnsiTheme="minorHAnsi" w:eastAsiaTheme="minorEastAsia" w:cstheme="minorBidi"/>
      <w:kern w:val="2"/>
      <w:sz w:val="21"/>
      <w:szCs w:val="22"/>
    </w:rPr>
  </w:style>
  <w:style w:type="character" w:customStyle="1" w:styleId="24">
    <w:name w:val="批注主题 Char"/>
    <w:basedOn w:val="23"/>
    <w:link w:val="11"/>
    <w:semiHidden/>
    <w:qFormat/>
    <w:uiPriority w:val="99"/>
    <w:rPr>
      <w:rFonts w:asciiTheme="minorHAnsi" w:hAnsiTheme="minorHAnsi" w:eastAsiaTheme="minorEastAsia" w:cstheme="minorBidi"/>
      <w:b/>
      <w:bCs/>
      <w:kern w:val="2"/>
      <w:sz w:val="21"/>
      <w:szCs w:val="22"/>
    </w:rPr>
  </w:style>
  <w:style w:type="character" w:customStyle="1" w:styleId="25">
    <w:name w:val="样式 小四 蓝色 首行缩进:  0.85 厘米 行距: 多倍行距 1.4 字行 Char"/>
    <w:link w:val="26"/>
    <w:qFormat/>
    <w:uiPriority w:val="0"/>
    <w:rPr>
      <w:rFonts w:cs="宋体"/>
      <w:color w:val="0000FF"/>
      <w:sz w:val="24"/>
      <w:szCs w:val="20"/>
    </w:rPr>
  </w:style>
  <w:style w:type="paragraph" w:customStyle="1" w:styleId="26">
    <w:name w:val="样式 小四 蓝色 首行缩进:  0.85 厘米 行距: 多倍行距 1.4 字行"/>
    <w:basedOn w:val="1"/>
    <w:link w:val="25"/>
    <w:qFormat/>
    <w:uiPriority w:val="0"/>
    <w:pPr>
      <w:spacing w:line="336" w:lineRule="auto"/>
      <w:ind w:firstLine="482"/>
    </w:pPr>
    <w:rPr>
      <w:rFonts w:cs="宋体"/>
      <w:color w:val="0000FF"/>
      <w:sz w:val="2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JDC</Company>
  <Pages>8</Pages>
  <Words>557</Words>
  <Characters>3180</Characters>
  <Lines>26</Lines>
  <Paragraphs>7</Paragraphs>
  <TotalTime>10</TotalTime>
  <ScaleCrop>false</ScaleCrop>
  <LinksUpToDate>false</LinksUpToDate>
  <CharactersWithSpaces>3730</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2018-07-27T06:33:00Z</dcterms:created>
  <dc:creator>LIUYu</dc:creator>
  <cp:lastModifiedBy>南柯一梦</cp:lastModifiedBy>
  <cp:lastPrinted>2017-10-23T01:20:00Z</cp:lastPrinted>
  <dcterms:modified xsi:type="dcterms:W3CDTF">2021-03-22T01:58:36Z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