
<file path=[Content_Types].xml><?xml version="1.0" encoding="utf-8"?>
<Types xmlns="http://schemas.openxmlformats.org/package/2006/content-types">
  <Default Extension="xml" ContentType="application/xml"/>
  <Default Extension="png" ContentType="image/png"/>
  <Default Extension="tiff" ContentType="image/tif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default" w:ascii="Times New Roman" w:hAnsi="Times New Roman" w:eastAsia="仿宋_GB2312" w:cs="Times New Roman"/>
          <w:sz w:val="32"/>
          <w:szCs w:val="32"/>
        </w:rPr>
      </w:pPr>
    </w:p>
    <w:p>
      <w:pPr>
        <w:jc w:val="right"/>
        <w:rPr>
          <w:rFonts w:hint="default" w:ascii="Times New Roman" w:hAnsi="Times New Roman" w:eastAsia="仿宋_GB2312" w:cs="Times New Roman"/>
        </w:rPr>
      </w:pPr>
    </w:p>
    <w:p>
      <w:pPr>
        <w:rPr>
          <w:rFonts w:hint="default" w:ascii="Times New Roman" w:hAnsi="Times New Roman" w:eastAsia="仿宋_GB2312" w:cs="Times New Roman"/>
        </w:rPr>
      </w:pPr>
    </w:p>
    <w:p>
      <w:pPr>
        <w:jc w:val="center"/>
        <w:rPr>
          <w:rFonts w:hint="default" w:ascii="Times New Roman" w:hAnsi="Times New Roman" w:eastAsia="仿宋_GB2312" w:cs="Times New Roman"/>
          <w:sz w:val="52"/>
          <w:szCs w:val="52"/>
        </w:rPr>
      </w:pPr>
      <w:r>
        <w:rPr>
          <w:rFonts w:hint="default" w:ascii="Times New Roman" w:hAnsi="Times New Roman" w:eastAsia="仿宋_GB2312" w:cs="Times New Roman"/>
          <w:sz w:val="52"/>
          <w:szCs w:val="52"/>
        </w:rPr>
        <w:t>生产建设项目水土保持设施</w:t>
      </w:r>
    </w:p>
    <w:p>
      <w:pPr>
        <w:jc w:val="center"/>
        <w:rPr>
          <w:rFonts w:hint="default" w:ascii="Times New Roman" w:hAnsi="Times New Roman" w:eastAsia="仿宋_GB2312" w:cs="Times New Roman"/>
          <w:sz w:val="84"/>
          <w:szCs w:val="84"/>
        </w:rPr>
      </w:pPr>
      <w:r>
        <w:rPr>
          <w:rFonts w:hint="default" w:ascii="Times New Roman" w:hAnsi="Times New Roman" w:eastAsia="仿宋_GB2312" w:cs="Times New Roman"/>
          <w:sz w:val="84"/>
          <w:szCs w:val="84"/>
        </w:rPr>
        <w:t>验收鉴定书</w:t>
      </w:r>
    </w:p>
    <w:p>
      <w:pPr>
        <w:spacing w:beforeLines="50" w:afterLines="50" w:line="360" w:lineRule="auto"/>
        <w:jc w:val="center"/>
        <w:rPr>
          <w:rFonts w:hint="default" w:ascii="Times New Roman" w:hAnsi="Times New Roman" w:eastAsia="仿宋_GB2312" w:cs="Times New Roman"/>
          <w:sz w:val="28"/>
          <w:szCs w:val="28"/>
        </w:rPr>
      </w:pPr>
    </w:p>
    <w:p>
      <w:pPr>
        <w:spacing w:beforeLines="50" w:afterLines="50" w:line="360" w:lineRule="auto"/>
        <w:rPr>
          <w:rFonts w:hint="default" w:ascii="Times New Roman" w:hAnsi="Times New Roman" w:eastAsia="仿宋_GB2312" w:cs="Times New Roman"/>
          <w:sz w:val="28"/>
          <w:szCs w:val="28"/>
        </w:rPr>
      </w:pPr>
    </w:p>
    <w:p>
      <w:pPr>
        <w:pStyle w:val="2"/>
        <w:rPr>
          <w:rFonts w:hint="default"/>
        </w:rPr>
      </w:pPr>
    </w:p>
    <w:p>
      <w:pPr>
        <w:spacing w:beforeLines="50" w:afterLines="50" w:line="360" w:lineRule="auto"/>
        <w:rPr>
          <w:rFonts w:hint="default" w:ascii="Times New Roman" w:hAnsi="Times New Roman" w:eastAsia="仿宋_GB2312" w:cs="Times New Roman"/>
          <w:sz w:val="28"/>
          <w:szCs w:val="28"/>
        </w:rPr>
      </w:pPr>
    </w:p>
    <w:p>
      <w:pPr>
        <w:spacing w:beforeLines="50" w:afterLines="50" w:line="360" w:lineRule="auto"/>
        <w:rPr>
          <w:rFonts w:hint="default" w:ascii="Times New Roman" w:hAnsi="Times New Roman" w:eastAsia="仿宋_GB2312" w:cs="Times New Roman"/>
          <w:sz w:val="28"/>
          <w:szCs w:val="28"/>
        </w:rPr>
      </w:pPr>
    </w:p>
    <w:p>
      <w:pPr>
        <w:spacing w:line="600" w:lineRule="exact"/>
        <w:ind w:firstLine="700" w:firstLineChars="25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rPr>
        <w:t>项目名称:</w:t>
      </w:r>
      <w:r>
        <w:rPr>
          <w:rFonts w:hint="eastAsia" w:ascii="Times New Roman" w:hAnsi="Times New Roman" w:eastAsia="仿宋_GB2312" w:cs="Times New Roman"/>
          <w:sz w:val="28"/>
          <w:szCs w:val="28"/>
          <w:u w:val="single"/>
          <w:lang w:eastAsia="zh-CN"/>
        </w:rPr>
        <w:t>南充西充观音110kV输变电工程</w:t>
      </w:r>
    </w:p>
    <w:p>
      <w:pPr>
        <w:spacing w:line="360" w:lineRule="auto"/>
        <w:ind w:firstLine="700" w:firstLineChars="250"/>
        <w:rPr>
          <w:rFonts w:hint="default" w:ascii="Times New Roman" w:hAnsi="Times New Roman" w:eastAsia="仿宋_GB2312" w:cs="Times New Roman"/>
          <w:sz w:val="28"/>
          <w:szCs w:val="28"/>
          <w:u w:val="single"/>
          <w:lang w:val="en-US" w:eastAsia="zh-CN"/>
        </w:rPr>
      </w:pPr>
      <w:r>
        <w:rPr>
          <w:rFonts w:hint="default" w:ascii="Times New Roman" w:hAnsi="Times New Roman" w:eastAsia="仿宋_GB2312" w:cs="Times New Roman"/>
          <w:sz w:val="28"/>
          <w:szCs w:val="28"/>
        </w:rPr>
        <w:t>项目编号:</w:t>
      </w:r>
      <w:r>
        <w:rPr>
          <w:rFonts w:hint="eastAsia" w:ascii="Times New Roman" w:hAnsi="Times New Roman" w:eastAsia="仿宋_GB2312" w:cs="Times New Roman"/>
          <w:sz w:val="28"/>
          <w:szCs w:val="28"/>
          <w:u w:val="single"/>
          <w:lang w:eastAsia="zh-CN"/>
        </w:rPr>
        <w:t>南发改审批【</w:t>
      </w:r>
      <w:r>
        <w:rPr>
          <w:rFonts w:hint="eastAsia" w:ascii="Times New Roman" w:hAnsi="Times New Roman" w:eastAsia="仿宋_GB2312" w:cs="Times New Roman"/>
          <w:sz w:val="28"/>
          <w:szCs w:val="28"/>
          <w:u w:val="single"/>
          <w:lang w:val="en-US" w:eastAsia="zh-CN"/>
        </w:rPr>
        <w:t>2017</w:t>
      </w:r>
      <w:r>
        <w:rPr>
          <w:rFonts w:hint="eastAsia" w:ascii="Times New Roman" w:hAnsi="Times New Roman" w:eastAsia="仿宋_GB2312" w:cs="Times New Roman"/>
          <w:sz w:val="28"/>
          <w:szCs w:val="28"/>
          <w:u w:val="single"/>
          <w:lang w:eastAsia="zh-CN"/>
        </w:rPr>
        <w:t>】</w:t>
      </w:r>
      <w:r>
        <w:rPr>
          <w:rFonts w:hint="eastAsia" w:ascii="Times New Roman" w:hAnsi="Times New Roman" w:eastAsia="仿宋_GB2312" w:cs="Times New Roman"/>
          <w:sz w:val="28"/>
          <w:szCs w:val="28"/>
          <w:u w:val="single"/>
          <w:lang w:val="en-US" w:eastAsia="zh-CN"/>
        </w:rPr>
        <w:t>40号</w:t>
      </w:r>
    </w:p>
    <w:p>
      <w:pPr>
        <w:spacing w:line="360" w:lineRule="auto"/>
        <w:ind w:firstLine="700" w:firstLineChars="250"/>
        <w:rPr>
          <w:rFonts w:hint="eastAsia" w:ascii="Times New Roman" w:hAnsi="Times New Roman" w:eastAsia="仿宋_GB2312" w:cs="Times New Roman"/>
          <w:sz w:val="28"/>
          <w:szCs w:val="28"/>
          <w:u w:val="single"/>
          <w:lang w:val="en-US" w:eastAsia="zh-CN"/>
        </w:rPr>
      </w:pPr>
      <w:r>
        <w:rPr>
          <w:rFonts w:hint="default" w:ascii="Times New Roman" w:hAnsi="Times New Roman" w:eastAsia="仿宋_GB2312" w:cs="Times New Roman"/>
          <w:sz w:val="28"/>
          <w:szCs w:val="28"/>
        </w:rPr>
        <w:t>建设地点:</w:t>
      </w:r>
      <w:r>
        <w:rPr>
          <w:rFonts w:hint="eastAsia" w:ascii="Times New Roman" w:hAnsi="Times New Roman" w:eastAsia="仿宋_GB2312" w:cs="Times New Roman"/>
          <w:sz w:val="28"/>
          <w:szCs w:val="28"/>
          <w:u w:val="single"/>
          <w:lang w:eastAsia="zh-CN"/>
        </w:rPr>
        <w:t>南充市西充县</w:t>
      </w:r>
    </w:p>
    <w:p>
      <w:pPr>
        <w:spacing w:line="360" w:lineRule="auto"/>
        <w:ind w:firstLine="700" w:firstLineChars="250"/>
        <w:rPr>
          <w:rFonts w:hint="default" w:ascii="Times New Roman" w:hAnsi="Times New Roman" w:eastAsia="仿宋_GB2312" w:cs="Times New Roman"/>
          <w:sz w:val="28"/>
          <w:szCs w:val="28"/>
          <w:u w:val="single"/>
          <w:lang w:eastAsia="zh-CN"/>
        </w:rPr>
      </w:pPr>
      <w:r>
        <w:rPr>
          <w:rFonts w:hint="default" w:ascii="Times New Roman" w:hAnsi="Times New Roman" w:eastAsia="仿宋_GB2312" w:cs="Times New Roman"/>
          <w:sz w:val="28"/>
          <w:szCs w:val="28"/>
        </w:rPr>
        <w:t>验收单位:</w:t>
      </w:r>
      <w:r>
        <w:rPr>
          <w:rFonts w:hint="eastAsia" w:ascii="Times New Roman" w:hAnsi="Times New Roman" w:eastAsia="仿宋_GB2312" w:cs="Times New Roman"/>
          <w:sz w:val="28"/>
          <w:szCs w:val="28"/>
          <w:u w:val="single"/>
          <w:lang w:eastAsia="zh-CN"/>
        </w:rPr>
        <w:t>国网四川省电力公司南充供电公司</w:t>
      </w:r>
    </w:p>
    <w:p>
      <w:pPr>
        <w:rPr>
          <w:rFonts w:hint="default" w:ascii="Times New Roman" w:hAnsi="Times New Roman" w:eastAsia="仿宋_GB2312" w:cs="Times New Roman"/>
        </w:rPr>
      </w:pPr>
    </w:p>
    <w:p>
      <w:pPr>
        <w:rPr>
          <w:rFonts w:hint="default" w:ascii="Times New Roman" w:hAnsi="Times New Roman" w:eastAsia="仿宋_GB2312" w:cs="Times New Roman"/>
        </w:rPr>
      </w:pPr>
    </w:p>
    <w:p>
      <w:pPr>
        <w:rPr>
          <w:rFonts w:hint="default" w:ascii="Times New Roman" w:hAnsi="Times New Roman" w:eastAsia="仿宋_GB2312" w:cs="Times New Roman"/>
        </w:rPr>
      </w:pPr>
    </w:p>
    <w:p>
      <w:pPr>
        <w:rPr>
          <w:rFonts w:hint="default" w:ascii="Times New Roman" w:hAnsi="Times New Roman" w:eastAsia="仿宋_GB2312" w:cs="Times New Roman"/>
        </w:rPr>
      </w:pPr>
    </w:p>
    <w:p>
      <w:pPr>
        <w:rPr>
          <w:rFonts w:hint="default" w:ascii="Times New Roman" w:hAnsi="Times New Roman" w:eastAsia="仿宋_GB2312" w:cs="Times New Roman"/>
        </w:rPr>
      </w:pPr>
    </w:p>
    <w:p>
      <w:pPr>
        <w:rPr>
          <w:rFonts w:hint="default" w:ascii="Times New Roman" w:hAnsi="Times New Roman" w:eastAsia="仿宋_GB2312" w:cs="Times New Roman"/>
        </w:rPr>
      </w:pPr>
    </w:p>
    <w:p>
      <w:pPr>
        <w:rPr>
          <w:rFonts w:hint="default" w:ascii="Times New Roman" w:hAnsi="Times New Roman" w:eastAsia="仿宋_GB2312" w:cs="Times New Roman"/>
        </w:rPr>
      </w:pPr>
    </w:p>
    <w:p>
      <w:pPr>
        <w:spacing w:beforeLines="50" w:afterLines="50"/>
        <w:jc w:val="center"/>
        <w:rPr>
          <w:rFonts w:hint="default" w:ascii="Times New Roman" w:hAnsi="Times New Roman" w:eastAsia="仿宋_GB2312" w:cs="Times New Roman"/>
          <w:sz w:val="30"/>
          <w:szCs w:val="30"/>
        </w:rPr>
      </w:pPr>
      <w:r>
        <w:rPr>
          <w:rFonts w:hint="default" w:ascii="Times New Roman" w:hAnsi="Times New Roman" w:eastAsia="仿宋_GB2312" w:cs="Times New Roman"/>
          <w:sz w:val="28"/>
          <w:szCs w:val="28"/>
        </w:rPr>
        <w:t>20</w:t>
      </w:r>
      <w:r>
        <w:rPr>
          <w:rFonts w:hint="eastAsia" w:ascii="Times New Roman" w:hAnsi="Times New Roman" w:eastAsia="仿宋_GB2312" w:cs="Times New Roman"/>
          <w:sz w:val="28"/>
          <w:szCs w:val="28"/>
          <w:lang w:val="en-US" w:eastAsia="zh-CN"/>
        </w:rPr>
        <w:t>20</w:t>
      </w:r>
      <w:r>
        <w:rPr>
          <w:rFonts w:hint="default" w:ascii="Times New Roman" w:hAnsi="Times New Roman" w:eastAsia="仿宋_GB2312" w:cs="Times New Roman"/>
          <w:sz w:val="28"/>
          <w:szCs w:val="28"/>
        </w:rPr>
        <w:t>年</w:t>
      </w:r>
      <w:r>
        <w:rPr>
          <w:rFonts w:hint="eastAsia" w:ascii="Times New Roman" w:hAnsi="Times New Roman" w:eastAsia="仿宋_GB2312" w:cs="Times New Roman"/>
          <w:sz w:val="28"/>
          <w:szCs w:val="28"/>
          <w:lang w:val="en-US" w:eastAsia="zh-CN"/>
        </w:rPr>
        <w:t>7</w:t>
      </w:r>
      <w:r>
        <w:rPr>
          <w:rFonts w:hint="default" w:ascii="Times New Roman" w:hAnsi="Times New Roman" w:eastAsia="仿宋_GB2312" w:cs="Times New Roman"/>
          <w:sz w:val="28"/>
          <w:szCs w:val="28"/>
        </w:rPr>
        <w:t>月</w:t>
      </w:r>
      <w:r>
        <w:rPr>
          <w:rFonts w:hint="eastAsia" w:ascii="Times New Roman" w:hAnsi="Times New Roman" w:eastAsia="仿宋_GB2312" w:cs="Times New Roman"/>
          <w:sz w:val="28"/>
          <w:szCs w:val="28"/>
          <w:lang w:val="en-US" w:eastAsia="zh-CN"/>
        </w:rPr>
        <w:t>10</w:t>
      </w:r>
      <w:r>
        <w:rPr>
          <w:rFonts w:hint="default" w:ascii="Times New Roman" w:hAnsi="Times New Roman" w:eastAsia="仿宋_GB2312" w:cs="Times New Roman"/>
          <w:sz w:val="28"/>
          <w:szCs w:val="28"/>
        </w:rPr>
        <w:t>日</w:t>
      </w:r>
      <w:r>
        <w:rPr>
          <w:rFonts w:hint="default" w:ascii="Times New Roman" w:hAnsi="Times New Roman" w:eastAsia="仿宋_GB2312" w:cs="Times New Roman"/>
          <w:b/>
          <w:sz w:val="30"/>
          <w:szCs w:val="30"/>
        </w:rPr>
        <w:br w:type="column"/>
      </w:r>
      <w:r>
        <w:rPr>
          <w:rFonts w:hint="default" w:ascii="Times New Roman" w:hAnsi="Times New Roman" w:eastAsia="仿宋_GB2312" w:cs="Times New Roman"/>
          <w:b/>
          <w:bCs/>
          <w:sz w:val="30"/>
          <w:szCs w:val="30"/>
        </w:rPr>
        <w:t>一、生产建设项目水土保持设施验收基本情况表</w:t>
      </w:r>
    </w:p>
    <w:tbl>
      <w:tblPr>
        <w:tblStyle w:val="12"/>
        <w:tblW w:w="88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284"/>
        <w:gridCol w:w="2775"/>
        <w:gridCol w:w="1264"/>
        <w:gridCol w:w="15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8"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项目名称</w:t>
            </w:r>
          </w:p>
        </w:tc>
        <w:tc>
          <w:tcPr>
            <w:tcW w:w="2775"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南充西充观音110kV输变电工程</w:t>
            </w:r>
          </w:p>
        </w:tc>
        <w:tc>
          <w:tcPr>
            <w:tcW w:w="1264"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行业类别</w:t>
            </w:r>
          </w:p>
        </w:tc>
        <w:tc>
          <w:tcPr>
            <w:tcW w:w="1508"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color w:val="000000" w:themeColor="text1"/>
                <w:kern w:val="0"/>
                <w:sz w:val="28"/>
                <w:szCs w:val="28"/>
                <w:lang w:eastAsia="zh-CN"/>
                <w14:textFill>
                  <w14:solidFill>
                    <w14:schemeClr w14:val="tx1"/>
                  </w14:solidFill>
                </w14:textFill>
              </w:rPr>
              <w:t>输变电工程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3"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主管部门</w:t>
            </w:r>
          </w:p>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（或主要投资方）</w:t>
            </w:r>
          </w:p>
        </w:tc>
        <w:tc>
          <w:tcPr>
            <w:tcW w:w="2775"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国网四川省电力公司南充供电公司</w:t>
            </w:r>
          </w:p>
        </w:tc>
        <w:tc>
          <w:tcPr>
            <w:tcW w:w="1264"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项目性质</w:t>
            </w:r>
          </w:p>
        </w:tc>
        <w:tc>
          <w:tcPr>
            <w:tcW w:w="1508" w:type="dxa"/>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新建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1"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水土保持方案批复机关、文号及时间</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left"/>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color w:val="000000" w:themeColor="text1"/>
                <w:kern w:val="0"/>
                <w:sz w:val="28"/>
                <w:szCs w:val="28"/>
                <w14:textFill>
                  <w14:solidFill>
                    <w14:schemeClr w14:val="tx1"/>
                  </w14:solidFill>
                </w14:textFill>
              </w:rPr>
              <w:t>批复机关：南充市水务局；批准文号：水土保持方案审批意见；批复时间：201</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7</w:t>
            </w:r>
            <w:r>
              <w:rPr>
                <w:rFonts w:hint="default" w:ascii="Times New Roman" w:hAnsi="Times New Roman" w:eastAsia="仿宋_GB2312" w:cs="Times New Roman"/>
                <w:color w:val="000000" w:themeColor="text1"/>
                <w:kern w:val="0"/>
                <w:sz w:val="28"/>
                <w:szCs w:val="28"/>
                <w14:textFill>
                  <w14:solidFill>
                    <w14:schemeClr w14:val="tx1"/>
                  </w14:solidFill>
                </w14:textFill>
              </w:rPr>
              <w:t>年</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12</w:t>
            </w:r>
            <w:r>
              <w:rPr>
                <w:rFonts w:hint="default" w:ascii="Times New Roman" w:hAnsi="Times New Roman" w:eastAsia="仿宋_GB2312" w:cs="Times New Roman"/>
                <w:color w:val="000000" w:themeColor="text1"/>
                <w:kern w:val="0"/>
                <w:sz w:val="28"/>
                <w:szCs w:val="28"/>
                <w14:textFill>
                  <w14:solidFill>
                    <w14:schemeClr w14:val="tx1"/>
                  </w14:solidFill>
                </w14:textFill>
              </w:rPr>
              <w:t>月</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13</w:t>
            </w:r>
            <w:r>
              <w:rPr>
                <w:rFonts w:hint="default" w:ascii="Times New Roman" w:hAnsi="Times New Roman" w:eastAsia="仿宋_GB2312" w:cs="Times New Roman"/>
                <w:color w:val="000000" w:themeColor="text1"/>
                <w:kern w:val="0"/>
                <w:sz w:val="28"/>
                <w:szCs w:val="28"/>
                <w14:textFill>
                  <w14:solidFill>
                    <w14:schemeClr w14:val="tx1"/>
                  </w14:solidFill>
                </w14:textFill>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5"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水土保持方案变更批复机关、文号及时间</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水土保持初步设计批复机关、文号及时间</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color w:val="000000" w:themeColor="text1"/>
                <w:kern w:val="0"/>
                <w:sz w:val="28"/>
                <w:szCs w:val="28"/>
                <w:lang w:eastAsia="zh-CN"/>
                <w14:textFill>
                  <w14:solidFill>
                    <w14:schemeClr w14:val="tx1"/>
                  </w14:solidFill>
                </w14:textFill>
              </w:rPr>
              <w:t>国网四川省电力公司办公室、川电建设【</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2019</w:t>
            </w:r>
            <w:r>
              <w:rPr>
                <w:rFonts w:hint="default" w:ascii="Times New Roman" w:hAnsi="Times New Roman" w:eastAsia="仿宋_GB2312" w:cs="Times New Roman"/>
                <w:color w:val="000000" w:themeColor="text1"/>
                <w:kern w:val="0"/>
                <w:sz w:val="28"/>
                <w:szCs w:val="28"/>
                <w:lang w:eastAsia="zh-CN"/>
                <w14:textFill>
                  <w14:solidFill>
                    <w14:schemeClr w14:val="tx1"/>
                  </w14:solidFill>
                </w14:textFill>
              </w:rPr>
              <w:t>】</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84号、2019年4月18日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项目建设起止时间</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right="120"/>
              <w:jc w:val="center"/>
              <w:textAlignment w:val="auto"/>
              <w:rPr>
                <w:rFonts w:hint="default" w:ascii="Times New Roman" w:hAnsi="Times New Roman" w:eastAsia="仿宋_GB2312" w:cs="Times New Roman"/>
                <w:color w:val="FF0000"/>
                <w:sz w:val="28"/>
                <w:szCs w:val="28"/>
              </w:rPr>
            </w:pPr>
            <w:r>
              <w:rPr>
                <w:rFonts w:hint="default" w:ascii="Times New Roman" w:hAnsi="Times New Roman" w:eastAsia="仿宋_GB2312" w:cs="Times New Roman"/>
                <w:color w:val="000000" w:themeColor="text1"/>
                <w:kern w:val="0"/>
                <w:sz w:val="28"/>
                <w:szCs w:val="28"/>
                <w14:textFill>
                  <w14:solidFill>
                    <w14:schemeClr w14:val="tx1"/>
                  </w14:solidFill>
                </w14:textFill>
              </w:rPr>
              <w:t>201</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7</w:t>
            </w:r>
            <w:r>
              <w:rPr>
                <w:rFonts w:hint="default" w:ascii="Times New Roman" w:hAnsi="Times New Roman" w:eastAsia="仿宋_GB2312" w:cs="Times New Roman"/>
                <w:color w:val="000000" w:themeColor="text1"/>
                <w:kern w:val="0"/>
                <w:sz w:val="28"/>
                <w:szCs w:val="28"/>
                <w14:textFill>
                  <w14:solidFill>
                    <w14:schemeClr w14:val="tx1"/>
                  </w14:solidFill>
                </w14:textFill>
              </w:rPr>
              <w:t>年7月开工建设，201</w:t>
            </w:r>
            <w:r>
              <w:rPr>
                <w:rFonts w:hint="default" w:ascii="Times New Roman" w:hAnsi="Times New Roman" w:eastAsia="仿宋_GB2312" w:cs="Times New Roman"/>
                <w:color w:val="000000" w:themeColor="text1"/>
                <w:kern w:val="0"/>
                <w:sz w:val="28"/>
                <w:szCs w:val="28"/>
                <w:lang w:val="en-US" w:eastAsia="zh-CN"/>
                <w14:textFill>
                  <w14:solidFill>
                    <w14:schemeClr w14:val="tx1"/>
                  </w14:solidFill>
                </w14:textFill>
              </w:rPr>
              <w:t>8</w:t>
            </w:r>
            <w:r>
              <w:rPr>
                <w:rFonts w:hint="default" w:ascii="Times New Roman" w:hAnsi="Times New Roman" w:eastAsia="仿宋_GB2312" w:cs="Times New Roman"/>
                <w:color w:val="000000" w:themeColor="text1"/>
                <w:kern w:val="0"/>
                <w:sz w:val="28"/>
                <w:szCs w:val="28"/>
                <w14:textFill>
                  <w14:solidFill>
                    <w14:schemeClr w14:val="tx1"/>
                  </w14:solidFill>
                </w14:textFill>
              </w:rPr>
              <w:t>年2月完成施工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6"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水土保持方案编制单位</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right="12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color w:val="000000" w:themeColor="text1"/>
                <w:kern w:val="0"/>
                <w:sz w:val="28"/>
                <w:szCs w:val="28"/>
                <w:lang w:eastAsia="zh-CN"/>
                <w14:textFill>
                  <w14:solidFill>
                    <w14:schemeClr w14:val="tx1"/>
                  </w14:solidFill>
                </w14:textFill>
              </w:rPr>
              <w:t>南充水利电力建筑勘察设计研究院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0"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水土保持初步设计单位</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right="12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color w:val="000000" w:themeColor="text1"/>
                <w:kern w:val="0"/>
                <w:sz w:val="28"/>
                <w:szCs w:val="28"/>
                <w:lang w:eastAsia="zh-CN"/>
                <w14:textFill>
                  <w14:solidFill>
                    <w14:schemeClr w14:val="tx1"/>
                  </w14:solidFill>
                </w14:textFill>
              </w:rPr>
              <w:t>四川南充电力设计有限公司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6"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水土保持施工单位</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right="12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四川南充恒通电力有限公司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9"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水土保持监理单位</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right="12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四川电力工程建设监理有限责任公司南充监理站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exact"/>
          <w:jc w:val="center"/>
        </w:trPr>
        <w:tc>
          <w:tcPr>
            <w:tcW w:w="3284" w:type="dxa"/>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水土保持设施验收</w:t>
            </w:r>
          </w:p>
          <w:p>
            <w:pPr>
              <w:keepNext w:val="0"/>
              <w:keepLines w:val="0"/>
              <w:pageBreakBefore w:val="0"/>
              <w:widowControl w:val="0"/>
              <w:kinsoku/>
              <w:wordWrap/>
              <w:overflowPunct/>
              <w:topLinePunct w:val="0"/>
              <w:autoSpaceDE/>
              <w:autoSpaceDN/>
              <w:bidi w:val="0"/>
              <w:adjustRightInd/>
              <w:snapToGrid/>
              <w:spacing w:line="240" w:lineRule="auto"/>
              <w:ind w:left="120" w:leftChars="57"/>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报告编制单位</w:t>
            </w:r>
          </w:p>
        </w:tc>
        <w:tc>
          <w:tcPr>
            <w:tcW w:w="5547" w:type="dxa"/>
            <w:gridSpan w:val="3"/>
            <w:vAlign w:val="center"/>
          </w:tcPr>
          <w:p>
            <w:pPr>
              <w:keepNext w:val="0"/>
              <w:keepLines w:val="0"/>
              <w:pageBreakBefore w:val="0"/>
              <w:widowControl w:val="0"/>
              <w:kinsoku/>
              <w:wordWrap/>
              <w:overflowPunct/>
              <w:topLinePunct w:val="0"/>
              <w:autoSpaceDE/>
              <w:autoSpaceDN/>
              <w:bidi w:val="0"/>
              <w:adjustRightInd/>
              <w:snapToGrid/>
              <w:spacing w:line="240" w:lineRule="auto"/>
              <w:ind w:left="120" w:leftChars="57" w:right="120"/>
              <w:jc w:val="center"/>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四川眉山华能工程技术咨询设计有限公司</w:t>
            </w:r>
          </w:p>
          <w:p>
            <w:pPr>
              <w:keepNext w:val="0"/>
              <w:keepLines w:val="0"/>
              <w:pageBreakBefore w:val="0"/>
              <w:widowControl w:val="0"/>
              <w:kinsoku/>
              <w:wordWrap/>
              <w:overflowPunct/>
              <w:topLinePunct w:val="0"/>
              <w:autoSpaceDE/>
              <w:autoSpaceDN/>
              <w:bidi w:val="0"/>
              <w:adjustRightInd/>
              <w:snapToGrid/>
              <w:spacing w:line="240" w:lineRule="auto"/>
              <w:ind w:left="120" w:right="120"/>
              <w:jc w:val="center"/>
              <w:textAlignment w:val="auto"/>
              <w:rPr>
                <w:rFonts w:hint="default" w:ascii="Times New Roman" w:hAnsi="Times New Roman" w:eastAsia="仿宋_GB2312" w:cs="Times New Roman"/>
                <w:sz w:val="28"/>
                <w:szCs w:val="28"/>
              </w:rPr>
            </w:pPr>
          </w:p>
        </w:tc>
      </w:tr>
    </w:tbl>
    <w:p>
      <w:pPr>
        <w:rPr>
          <w:rFonts w:hint="default" w:ascii="Times New Roman" w:hAnsi="Times New Roman" w:eastAsia="仿宋_GB2312" w:cs="Times New Roman"/>
          <w:sz w:val="30"/>
          <w:szCs w:val="30"/>
        </w:rPr>
      </w:pPr>
      <w:r>
        <w:rPr>
          <w:rFonts w:hint="default" w:ascii="Times New Roman" w:hAnsi="Times New Roman" w:eastAsia="仿宋_GB2312" w:cs="Times New Roman"/>
          <w:sz w:val="30"/>
          <w:szCs w:val="30"/>
        </w:rPr>
        <w:br w:type="page"/>
      </w:r>
    </w:p>
    <w:p>
      <w:pPr>
        <w:ind w:firstLine="602" w:firstLineChars="200"/>
        <w:rPr>
          <w:rFonts w:hint="default" w:ascii="Times New Roman" w:hAnsi="Times New Roman" w:eastAsia="仿宋_GB2312" w:cs="Times New Roman"/>
          <w:b/>
          <w:bCs/>
        </w:rPr>
      </w:pPr>
      <w:r>
        <w:rPr>
          <w:rFonts w:hint="default" w:ascii="Times New Roman" w:hAnsi="Times New Roman" w:eastAsia="仿宋_GB2312" w:cs="Times New Roman"/>
          <w:b/>
          <w:bCs/>
          <w:sz w:val="30"/>
          <w:szCs w:val="30"/>
        </w:rPr>
        <w:t>二、验收意见</w:t>
      </w:r>
    </w:p>
    <w:tbl>
      <w:tblPr>
        <w:tblStyle w:val="12"/>
        <w:tblW w:w="934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20" w:hRule="atLeast"/>
          <w:jc w:val="center"/>
        </w:trPr>
        <w:tc>
          <w:tcPr>
            <w:tcW w:w="9340" w:type="dxa"/>
          </w:tcPr>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根据《中华人民共和国水土保持法》、《水利部办公厅关于印发生产建设项目水土保持设施自主验收规程（试行）的通知》（办水保【2018】133号）及《四川省水利厅转发水利部关于加强事中事后监管规范生产建设项目水土保持设施自主验收的通知》（川水函【2018】887号）的规定，</w:t>
            </w:r>
            <w:r>
              <w:rPr>
                <w:rFonts w:hint="eastAsia" w:ascii="Times New Roman" w:hAnsi="Times New Roman" w:eastAsia="仿宋_GB2312" w:cs="Times New Roman"/>
                <w:sz w:val="28"/>
                <w:szCs w:val="28"/>
                <w:lang w:eastAsia="zh-CN"/>
              </w:rPr>
              <w:t>国网四川省电力公司南充供电公司</w:t>
            </w:r>
            <w:r>
              <w:rPr>
                <w:rFonts w:hint="default" w:ascii="Times New Roman" w:hAnsi="Times New Roman" w:eastAsia="仿宋_GB2312" w:cs="Times New Roman"/>
                <w:sz w:val="28"/>
                <w:szCs w:val="28"/>
              </w:rPr>
              <w:t>于20</w:t>
            </w:r>
            <w:r>
              <w:rPr>
                <w:rFonts w:hint="eastAsia" w:ascii="Times New Roman" w:hAnsi="Times New Roman" w:eastAsia="仿宋_GB2312" w:cs="Times New Roman"/>
                <w:sz w:val="28"/>
                <w:szCs w:val="28"/>
                <w:lang w:val="en-US" w:eastAsia="zh-CN"/>
              </w:rPr>
              <w:t>20</w:t>
            </w:r>
            <w:r>
              <w:rPr>
                <w:rFonts w:hint="default" w:ascii="Times New Roman" w:hAnsi="Times New Roman" w:eastAsia="仿宋_GB2312" w:cs="Times New Roman"/>
                <w:sz w:val="28"/>
                <w:szCs w:val="28"/>
              </w:rPr>
              <w:t>年</w:t>
            </w:r>
            <w:r>
              <w:rPr>
                <w:rFonts w:hint="eastAsia" w:ascii="Times New Roman" w:hAnsi="Times New Roman" w:eastAsia="仿宋_GB2312" w:cs="Times New Roman"/>
                <w:sz w:val="28"/>
                <w:szCs w:val="28"/>
                <w:lang w:val="en-US" w:eastAsia="zh-CN"/>
              </w:rPr>
              <w:t>7</w:t>
            </w:r>
            <w:r>
              <w:rPr>
                <w:rFonts w:hint="default" w:ascii="Times New Roman" w:hAnsi="Times New Roman" w:eastAsia="仿宋_GB2312" w:cs="Times New Roman"/>
                <w:sz w:val="28"/>
                <w:szCs w:val="28"/>
              </w:rPr>
              <w:t>月在</w:t>
            </w:r>
            <w:r>
              <w:rPr>
                <w:rFonts w:hint="eastAsia" w:ascii="Times New Roman" w:hAnsi="Times New Roman" w:eastAsia="仿宋_GB2312" w:cs="Times New Roman"/>
                <w:sz w:val="28"/>
                <w:szCs w:val="28"/>
                <w:lang w:eastAsia="zh-CN"/>
              </w:rPr>
              <w:t>南充市（国网四川省电力公司南充供电公司会议室）</w:t>
            </w:r>
            <w:r>
              <w:rPr>
                <w:rFonts w:hint="default" w:ascii="Times New Roman" w:hAnsi="Times New Roman" w:eastAsia="仿宋_GB2312" w:cs="Times New Roman"/>
                <w:sz w:val="28"/>
                <w:szCs w:val="28"/>
              </w:rPr>
              <w:t>召开了</w:t>
            </w:r>
            <w:r>
              <w:rPr>
                <w:rFonts w:hint="eastAsia" w:ascii="Times New Roman" w:hAnsi="Times New Roman" w:eastAsia="仿宋_GB2312" w:cs="Times New Roman"/>
                <w:sz w:val="28"/>
                <w:szCs w:val="28"/>
                <w:lang w:eastAsia="zh-CN"/>
              </w:rPr>
              <w:t>南充西充观音110kV输变电工程</w:t>
            </w:r>
            <w:r>
              <w:rPr>
                <w:rFonts w:hint="default" w:ascii="Times New Roman" w:hAnsi="Times New Roman" w:eastAsia="仿宋_GB2312" w:cs="Times New Roman"/>
                <w:sz w:val="28"/>
                <w:szCs w:val="28"/>
              </w:rPr>
              <w:t>水土保持设施竣工验收会议。参加会议的有</w:t>
            </w:r>
            <w:r>
              <w:rPr>
                <w:rFonts w:hint="eastAsia" w:ascii="Times New Roman" w:hAnsi="Times New Roman" w:eastAsia="仿宋_GB2312" w:cs="Times New Roman"/>
                <w:sz w:val="28"/>
                <w:szCs w:val="28"/>
                <w:lang w:eastAsia="zh-CN"/>
              </w:rPr>
              <w:t>国网四川省电力公司南充供电公司、</w:t>
            </w:r>
            <w:r>
              <w:rPr>
                <w:rFonts w:hint="default" w:ascii="Times New Roman" w:hAnsi="Times New Roman" w:eastAsia="仿宋_GB2312" w:cs="Times New Roman"/>
                <w:sz w:val="28"/>
                <w:szCs w:val="28"/>
              </w:rPr>
              <w:t>水土保持方案编制单位</w:t>
            </w:r>
            <w:r>
              <w:rPr>
                <w:rFonts w:hint="eastAsia" w:ascii="Times New Roman" w:hAnsi="Times New Roman" w:eastAsia="仿宋_GB2312" w:cs="Times New Roman"/>
                <w:color w:val="000000" w:themeColor="text1"/>
                <w:kern w:val="0"/>
                <w:sz w:val="28"/>
                <w:szCs w:val="28"/>
                <w:lang w:eastAsia="zh-CN"/>
                <w14:textFill>
                  <w14:solidFill>
                    <w14:schemeClr w14:val="tx1"/>
                  </w14:solidFill>
                </w14:textFill>
              </w:rPr>
              <w:t>南充水利电力建筑勘察设计研究院</w:t>
            </w:r>
            <w:r>
              <w:rPr>
                <w:rFonts w:hint="default" w:ascii="Times New Roman" w:hAnsi="Times New Roman" w:eastAsia="仿宋_GB2312" w:cs="Times New Roman"/>
                <w:sz w:val="28"/>
                <w:szCs w:val="28"/>
              </w:rPr>
              <w:t>、水土保持验收编制单位四川眉山华能工程技术咨询设计有限公司、监理单位</w:t>
            </w:r>
            <w:r>
              <w:rPr>
                <w:rFonts w:hint="eastAsia" w:ascii="Times New Roman" w:hAnsi="Times New Roman" w:eastAsia="仿宋_GB2312" w:cs="Times New Roman"/>
                <w:sz w:val="28"/>
                <w:szCs w:val="28"/>
                <w:lang w:eastAsia="zh-CN"/>
              </w:rPr>
              <w:t>四川电力工程建设监理有限责任公司南充监理站</w:t>
            </w:r>
            <w:r>
              <w:rPr>
                <w:rFonts w:hint="default" w:ascii="Times New Roman" w:hAnsi="Times New Roman" w:eastAsia="仿宋_GB2312" w:cs="Times New Roman"/>
                <w:sz w:val="28"/>
                <w:szCs w:val="28"/>
              </w:rPr>
              <w:t>、施工单位</w:t>
            </w:r>
            <w:r>
              <w:rPr>
                <w:rFonts w:hint="eastAsia" w:ascii="Times New Roman" w:hAnsi="Times New Roman" w:eastAsia="仿宋_GB2312" w:cs="Times New Roman"/>
                <w:sz w:val="28"/>
                <w:szCs w:val="28"/>
                <w:lang w:eastAsia="zh-CN"/>
              </w:rPr>
              <w:t>四川南充恒通电力有限公司，参会人员名单附后</w:t>
            </w:r>
            <w:r>
              <w:rPr>
                <w:rFonts w:hint="default" w:ascii="Times New Roman" w:hAnsi="Times New Roman" w:eastAsia="仿宋_GB2312" w:cs="Times New Roman"/>
                <w:sz w:val="28"/>
                <w:szCs w:val="28"/>
              </w:rPr>
              <w:t>。</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验收组及与会代表查勘了工程现场，听取了建设单位关于水土保持工作</w:t>
            </w:r>
            <w:r>
              <w:rPr>
                <w:rFonts w:hint="eastAsia" w:ascii="Times New Roman" w:hAnsi="Times New Roman" w:eastAsia="仿宋_GB2312" w:cs="Times New Roman"/>
                <w:sz w:val="28"/>
                <w:szCs w:val="28"/>
                <w:lang w:eastAsia="zh-CN"/>
              </w:rPr>
              <w:t>开展</w:t>
            </w:r>
            <w:r>
              <w:rPr>
                <w:rFonts w:hint="default" w:ascii="Times New Roman" w:hAnsi="Times New Roman" w:eastAsia="仿宋_GB2312" w:cs="Times New Roman"/>
                <w:sz w:val="28"/>
                <w:szCs w:val="28"/>
              </w:rPr>
              <w:t>情况的汇报，</w:t>
            </w:r>
            <w:r>
              <w:rPr>
                <w:rFonts w:hint="eastAsia" w:ascii="Times New Roman" w:hAnsi="Times New Roman" w:eastAsia="仿宋_GB2312" w:cs="Times New Roman"/>
                <w:sz w:val="28"/>
                <w:szCs w:val="28"/>
                <w:lang w:eastAsia="zh-CN"/>
              </w:rPr>
              <w:t>水土保持方案编制单位汇报了方案编制情况，施工单位汇报水土保持措施实施情况，</w:t>
            </w:r>
            <w:r>
              <w:rPr>
                <w:rFonts w:hint="default" w:ascii="Times New Roman" w:hAnsi="Times New Roman" w:eastAsia="仿宋_GB2312" w:cs="Times New Roman"/>
                <w:sz w:val="28"/>
                <w:szCs w:val="28"/>
              </w:rPr>
              <w:t>监理</w:t>
            </w:r>
            <w:r>
              <w:rPr>
                <w:rFonts w:hint="eastAsia" w:ascii="Times New Roman" w:hAnsi="Times New Roman" w:eastAsia="仿宋_GB2312" w:cs="Times New Roman"/>
                <w:sz w:val="28"/>
                <w:szCs w:val="28"/>
                <w:lang w:eastAsia="zh-CN"/>
              </w:rPr>
              <w:t>单位</w:t>
            </w:r>
            <w:r>
              <w:rPr>
                <w:rFonts w:hint="default" w:ascii="Times New Roman" w:hAnsi="Times New Roman" w:eastAsia="仿宋_GB2312" w:cs="Times New Roman"/>
                <w:sz w:val="28"/>
                <w:szCs w:val="28"/>
              </w:rPr>
              <w:t>、监测</w:t>
            </w:r>
            <w:r>
              <w:rPr>
                <w:rFonts w:hint="eastAsia" w:ascii="Times New Roman" w:hAnsi="Times New Roman" w:eastAsia="仿宋_GB2312" w:cs="Times New Roman"/>
                <w:sz w:val="28"/>
                <w:szCs w:val="28"/>
                <w:lang w:eastAsia="zh-CN"/>
              </w:rPr>
              <w:t>单位汇报了监理、监测工作情况，水土保持设施验收报告编制单位汇报了水土保持验收总结情况</w:t>
            </w:r>
            <w:r>
              <w:rPr>
                <w:rFonts w:hint="default" w:ascii="Times New Roman" w:hAnsi="Times New Roman" w:eastAsia="仿宋_GB2312" w:cs="Times New Roman"/>
                <w:sz w:val="28"/>
                <w:szCs w:val="28"/>
              </w:rPr>
              <w:t>。验收组通过现场查勘和结合汇报情况，就工程水土保持设施验收的有关问题进行了认真讨论，形成验收意见如下：</w:t>
            </w:r>
          </w:p>
          <w:p>
            <w:pPr>
              <w:snapToGrid w:val="0"/>
              <w:spacing w:line="560" w:lineRule="exact"/>
              <w:ind w:firstLine="555"/>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（一）项目概况</w:t>
            </w:r>
          </w:p>
          <w:p>
            <w:pPr>
              <w:snapToGrid w:val="0"/>
              <w:spacing w:line="560" w:lineRule="exact"/>
              <w:ind w:firstLine="560" w:firstLineChars="200"/>
              <w:rPr>
                <w:rFonts w:hint="default" w:ascii="Times New Roman" w:hAnsi="Times New Roman" w:eastAsia="仿宋_GB2312" w:cs="Times New Roman"/>
                <w:sz w:val="28"/>
                <w:szCs w:val="28"/>
              </w:rPr>
            </w:pPr>
            <w:r>
              <w:rPr>
                <w:rFonts w:hint="eastAsia" w:ascii="Times New Roman" w:hAnsi="Times New Roman" w:eastAsia="仿宋_GB2312" w:cs="Times New Roman"/>
                <w:sz w:val="28"/>
                <w:szCs w:val="28"/>
                <w:lang w:eastAsia="zh-CN"/>
              </w:rPr>
              <w:t>南充西充观音110kV输变电工程共分为两部分：变电站和输电线路部分，变电站部分位于西充县晋城镇袁公桥村六社，输电线部分</w:t>
            </w:r>
            <w:r>
              <w:rPr>
                <w:rFonts w:hint="eastAsia" w:ascii="Times New Roman" w:hAnsi="Times New Roman" w:eastAsia="仿宋_GB2312" w:cs="Times New Roman"/>
                <w:sz w:val="28"/>
                <w:szCs w:val="28"/>
                <w:lang w:val="en-US" w:eastAsia="zh-CN"/>
              </w:rPr>
              <w:t>1、搬罾～观音 110kV 线路工程。2、搬家线义兴支线“∏”接入观音 110kV 线路工程工程包括电力系统、变电工程、线路工程、通信工程等。工程征占地0.89hm2，其中建设用地0.67hm2，临时占地0.22hm2</w:t>
            </w:r>
            <w:r>
              <w:rPr>
                <w:rFonts w:hint="default" w:ascii="Times New Roman" w:hAnsi="Times New Roman" w:eastAsia="仿宋_GB2312" w:cs="Times New Roman"/>
                <w:sz w:val="28"/>
                <w:szCs w:val="28"/>
              </w:rPr>
              <w:t>。</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rPr>
              <w:t>工程建设性质为新建，属于建设类项目</w:t>
            </w:r>
            <w:r>
              <w:rPr>
                <w:rFonts w:hint="default" w:ascii="Times New Roman" w:hAnsi="Times New Roman" w:eastAsia="仿宋_GB2312" w:cs="Times New Roman"/>
                <w:sz w:val="28"/>
                <w:szCs w:val="28"/>
                <w:lang w:eastAsia="zh-CN"/>
              </w:rPr>
              <w:t>。</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工程已于201</w:t>
            </w:r>
            <w:r>
              <w:rPr>
                <w:rFonts w:hint="eastAsia" w:ascii="Times New Roman" w:hAnsi="Times New Roman" w:eastAsia="仿宋_GB2312" w:cs="Times New Roman"/>
                <w:sz w:val="28"/>
                <w:szCs w:val="28"/>
                <w:lang w:val="en-US" w:eastAsia="zh-CN"/>
              </w:rPr>
              <w:t>7</w:t>
            </w:r>
            <w:r>
              <w:rPr>
                <w:rFonts w:hint="default" w:ascii="Times New Roman" w:hAnsi="Times New Roman" w:eastAsia="仿宋_GB2312" w:cs="Times New Roman"/>
                <w:sz w:val="28"/>
                <w:szCs w:val="28"/>
              </w:rPr>
              <w:t>年7月开工， 201</w:t>
            </w:r>
            <w:r>
              <w:rPr>
                <w:rFonts w:hint="eastAsia" w:ascii="Times New Roman" w:hAnsi="Times New Roman" w:eastAsia="仿宋_GB2312" w:cs="Times New Roman"/>
                <w:sz w:val="28"/>
                <w:szCs w:val="28"/>
                <w:lang w:val="en-US" w:eastAsia="zh-CN"/>
              </w:rPr>
              <w:t>8</w:t>
            </w:r>
            <w:r>
              <w:rPr>
                <w:rFonts w:hint="default" w:ascii="Times New Roman" w:hAnsi="Times New Roman" w:eastAsia="仿宋_GB2312" w:cs="Times New Roman"/>
                <w:sz w:val="28"/>
                <w:szCs w:val="28"/>
              </w:rPr>
              <w:t>年2月竣工。总工期</w:t>
            </w:r>
            <w:r>
              <w:rPr>
                <w:rFonts w:hint="eastAsia" w:ascii="Times New Roman" w:hAnsi="Times New Roman" w:eastAsia="仿宋_GB2312" w:cs="Times New Roman"/>
                <w:sz w:val="28"/>
                <w:szCs w:val="28"/>
                <w:lang w:val="en-US" w:eastAsia="zh-CN"/>
              </w:rPr>
              <w:t>8</w:t>
            </w:r>
            <w:r>
              <w:rPr>
                <w:rFonts w:hint="default" w:ascii="Times New Roman" w:hAnsi="Times New Roman" w:eastAsia="仿宋_GB2312" w:cs="Times New Roman"/>
                <w:sz w:val="28"/>
                <w:szCs w:val="28"/>
              </w:rPr>
              <w:t>个月。</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工程总投资</w:t>
            </w:r>
            <w:r>
              <w:rPr>
                <w:rFonts w:hint="eastAsia" w:ascii="Times New Roman" w:hAnsi="Times New Roman" w:eastAsia="仿宋_GB2312" w:cs="Times New Roman"/>
                <w:sz w:val="28"/>
                <w:szCs w:val="28"/>
                <w:lang w:val="en-US" w:eastAsia="zh-CN"/>
              </w:rPr>
              <w:t>7086</w:t>
            </w:r>
            <w:r>
              <w:rPr>
                <w:rFonts w:hint="default" w:ascii="Times New Roman" w:hAnsi="Times New Roman" w:eastAsia="仿宋_GB2312" w:cs="Times New Roman"/>
                <w:sz w:val="28"/>
                <w:szCs w:val="28"/>
              </w:rPr>
              <w:t>万元，资金来源为业主自筹。由国网四川省电力公司南充供电公司负责投资建设管理。</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（二）水土保持方案批复情况</w:t>
            </w:r>
          </w:p>
          <w:p>
            <w:pPr>
              <w:snapToGrid w:val="0"/>
              <w:spacing w:line="560" w:lineRule="exact"/>
              <w:ind w:firstLine="555"/>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2017年11月，南充水利电力建筑勘察设计研究院编制完成《</w:t>
            </w:r>
            <w:r>
              <w:rPr>
                <w:rFonts w:hint="eastAsia" w:ascii="Times New Roman" w:hAnsi="Times New Roman" w:eastAsia="仿宋_GB2312" w:cs="Times New Roman"/>
                <w:sz w:val="28"/>
                <w:szCs w:val="28"/>
                <w:lang w:eastAsia="zh-CN"/>
              </w:rPr>
              <w:t>南充西充观音110kV输变电工程</w:t>
            </w:r>
            <w:r>
              <w:rPr>
                <w:rFonts w:hint="default" w:ascii="Times New Roman" w:hAnsi="Times New Roman" w:eastAsia="仿宋_GB2312" w:cs="Times New Roman"/>
                <w:sz w:val="28"/>
                <w:szCs w:val="28"/>
              </w:rPr>
              <w:t>水土保持方案报告表（送审稿）》。</w:t>
            </w:r>
          </w:p>
          <w:p>
            <w:pPr>
              <w:snapToGrid w:val="0"/>
              <w:spacing w:line="560" w:lineRule="exact"/>
              <w:ind w:firstLine="555"/>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20</w:t>
            </w:r>
            <w:r>
              <w:rPr>
                <w:rFonts w:hint="eastAsia" w:ascii="Times New Roman" w:hAnsi="Times New Roman" w:eastAsia="仿宋_GB2312" w:cs="Times New Roman"/>
                <w:sz w:val="28"/>
                <w:szCs w:val="28"/>
                <w:lang w:val="en-US" w:eastAsia="zh-CN"/>
              </w:rPr>
              <w:t>17</w:t>
            </w:r>
            <w:r>
              <w:rPr>
                <w:rFonts w:hint="default" w:ascii="Times New Roman" w:hAnsi="Times New Roman" w:eastAsia="仿宋_GB2312" w:cs="Times New Roman"/>
                <w:sz w:val="28"/>
                <w:szCs w:val="28"/>
              </w:rPr>
              <w:t>年</w:t>
            </w:r>
            <w:r>
              <w:rPr>
                <w:rFonts w:hint="eastAsia" w:ascii="Times New Roman" w:hAnsi="Times New Roman" w:eastAsia="仿宋_GB2312" w:cs="Times New Roman"/>
                <w:sz w:val="28"/>
                <w:szCs w:val="28"/>
                <w:lang w:val="en-US" w:eastAsia="zh-CN"/>
              </w:rPr>
              <w:t>12</w:t>
            </w:r>
            <w:r>
              <w:rPr>
                <w:rFonts w:hint="default" w:ascii="Times New Roman" w:hAnsi="Times New Roman" w:eastAsia="仿宋_GB2312" w:cs="Times New Roman"/>
                <w:sz w:val="28"/>
                <w:szCs w:val="28"/>
              </w:rPr>
              <w:t>月8日，南充市水土保持办公室出具了《</w:t>
            </w:r>
            <w:r>
              <w:rPr>
                <w:rFonts w:hint="eastAsia" w:ascii="Times New Roman" w:hAnsi="Times New Roman" w:eastAsia="仿宋_GB2312" w:cs="Times New Roman"/>
                <w:sz w:val="28"/>
                <w:szCs w:val="28"/>
                <w:lang w:eastAsia="zh-CN"/>
              </w:rPr>
              <w:t>南充西充观音110kV输变电工程</w:t>
            </w:r>
            <w:r>
              <w:rPr>
                <w:rFonts w:hint="default" w:ascii="Times New Roman" w:hAnsi="Times New Roman" w:eastAsia="仿宋_GB2312" w:cs="Times New Roman"/>
                <w:sz w:val="28"/>
                <w:szCs w:val="28"/>
              </w:rPr>
              <w:t>水土保持方案报告表》（送审稿）的审批意见；</w:t>
            </w:r>
          </w:p>
          <w:p>
            <w:pPr>
              <w:snapToGrid w:val="0"/>
              <w:spacing w:line="560" w:lineRule="exact"/>
              <w:ind w:firstLine="555"/>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20</w:t>
            </w:r>
            <w:r>
              <w:rPr>
                <w:rFonts w:hint="eastAsia" w:ascii="Times New Roman" w:hAnsi="Times New Roman" w:eastAsia="仿宋_GB2312" w:cs="Times New Roman"/>
                <w:sz w:val="28"/>
                <w:szCs w:val="28"/>
                <w:lang w:val="en-US" w:eastAsia="zh-CN"/>
              </w:rPr>
              <w:t>17</w:t>
            </w:r>
            <w:r>
              <w:rPr>
                <w:rFonts w:hint="default" w:ascii="Times New Roman" w:hAnsi="Times New Roman" w:eastAsia="仿宋_GB2312" w:cs="Times New Roman"/>
                <w:sz w:val="28"/>
                <w:szCs w:val="28"/>
              </w:rPr>
              <w:t>年</w:t>
            </w:r>
            <w:r>
              <w:rPr>
                <w:rFonts w:hint="eastAsia" w:ascii="Times New Roman" w:hAnsi="Times New Roman" w:eastAsia="仿宋_GB2312" w:cs="Times New Roman"/>
                <w:sz w:val="28"/>
                <w:szCs w:val="28"/>
                <w:lang w:val="en-US" w:eastAsia="zh-CN"/>
              </w:rPr>
              <w:t>12</w:t>
            </w:r>
            <w:r>
              <w:rPr>
                <w:rFonts w:hint="default" w:ascii="Times New Roman" w:hAnsi="Times New Roman" w:eastAsia="仿宋_GB2312" w:cs="Times New Roman"/>
                <w:sz w:val="28"/>
                <w:szCs w:val="28"/>
              </w:rPr>
              <w:t>月</w:t>
            </w:r>
            <w:r>
              <w:rPr>
                <w:rFonts w:hint="eastAsia" w:ascii="Times New Roman" w:hAnsi="Times New Roman" w:eastAsia="仿宋_GB2312" w:cs="Times New Roman"/>
                <w:sz w:val="28"/>
                <w:szCs w:val="28"/>
                <w:lang w:val="en-US" w:eastAsia="zh-CN"/>
              </w:rPr>
              <w:t>13</w:t>
            </w:r>
            <w:r>
              <w:rPr>
                <w:rFonts w:hint="default" w:ascii="Times New Roman" w:hAnsi="Times New Roman" w:eastAsia="仿宋_GB2312" w:cs="Times New Roman"/>
                <w:sz w:val="28"/>
                <w:szCs w:val="28"/>
              </w:rPr>
              <w:t>日，南充市水务局关于</w:t>
            </w:r>
            <w:r>
              <w:rPr>
                <w:rFonts w:hint="eastAsia" w:ascii="Times New Roman" w:hAnsi="Times New Roman" w:eastAsia="仿宋_GB2312" w:cs="Times New Roman"/>
                <w:sz w:val="28"/>
                <w:szCs w:val="28"/>
                <w:lang w:eastAsia="zh-CN"/>
              </w:rPr>
              <w:t>南充西充观音110kV输变电工程</w:t>
            </w:r>
            <w:r>
              <w:rPr>
                <w:rFonts w:hint="default" w:ascii="Times New Roman" w:hAnsi="Times New Roman" w:eastAsia="仿宋_GB2312" w:cs="Times New Roman"/>
                <w:sz w:val="28"/>
                <w:szCs w:val="28"/>
              </w:rPr>
              <w:t>水土保持方案的审批意见，批复的</w:t>
            </w:r>
            <w:r>
              <w:rPr>
                <w:rFonts w:hint="eastAsia" w:ascii="Times New Roman" w:hAnsi="Times New Roman" w:eastAsia="仿宋_GB2312" w:cs="Times New Roman"/>
                <w:sz w:val="28"/>
                <w:szCs w:val="28"/>
                <w:lang w:eastAsia="zh-CN"/>
              </w:rPr>
              <w:t>南充西充观音110kV输变电工程</w:t>
            </w:r>
            <w:r>
              <w:rPr>
                <w:rFonts w:hint="default" w:ascii="Times New Roman" w:hAnsi="Times New Roman" w:eastAsia="仿宋_GB2312" w:cs="Times New Roman"/>
                <w:sz w:val="28"/>
                <w:szCs w:val="28"/>
              </w:rPr>
              <w:t>水土保持概算总投资</w:t>
            </w:r>
            <w:r>
              <w:rPr>
                <w:rFonts w:hint="eastAsia" w:ascii="Times New Roman" w:hAnsi="Times New Roman" w:eastAsia="仿宋_GB2312" w:cs="Times New Roman"/>
                <w:sz w:val="28"/>
                <w:szCs w:val="28"/>
                <w:lang w:val="en-US" w:eastAsia="zh-CN"/>
              </w:rPr>
              <w:t>111.99</w:t>
            </w:r>
            <w:r>
              <w:rPr>
                <w:rFonts w:hint="default" w:ascii="Times New Roman" w:hAnsi="Times New Roman" w:eastAsia="仿宋_GB2312" w:cs="Times New Roman"/>
                <w:sz w:val="28"/>
                <w:szCs w:val="28"/>
              </w:rPr>
              <w:t>万元，其中，主体工程已列投资为</w:t>
            </w:r>
            <w:r>
              <w:rPr>
                <w:rFonts w:hint="eastAsia" w:ascii="Times New Roman" w:hAnsi="Times New Roman" w:eastAsia="仿宋_GB2312" w:cs="Times New Roman"/>
                <w:sz w:val="28"/>
                <w:szCs w:val="28"/>
                <w:lang w:val="en-US" w:eastAsia="zh-CN"/>
              </w:rPr>
              <w:t>24.2</w:t>
            </w:r>
            <w:r>
              <w:rPr>
                <w:rFonts w:hint="default" w:ascii="Times New Roman" w:hAnsi="Times New Roman" w:eastAsia="仿宋_GB2312" w:cs="Times New Roman"/>
                <w:sz w:val="28"/>
                <w:szCs w:val="28"/>
              </w:rPr>
              <w:t>万元，水土保持方案新增投资为</w:t>
            </w:r>
            <w:r>
              <w:rPr>
                <w:rFonts w:hint="eastAsia" w:ascii="Times New Roman" w:hAnsi="Times New Roman" w:eastAsia="仿宋_GB2312" w:cs="Times New Roman"/>
                <w:sz w:val="28"/>
                <w:szCs w:val="28"/>
                <w:lang w:val="en-US" w:eastAsia="zh-CN"/>
              </w:rPr>
              <w:t>87.79</w:t>
            </w:r>
            <w:r>
              <w:rPr>
                <w:rFonts w:hint="default" w:ascii="Times New Roman" w:hAnsi="Times New Roman" w:eastAsia="仿宋_GB2312" w:cs="Times New Roman"/>
                <w:sz w:val="28"/>
                <w:szCs w:val="28"/>
              </w:rPr>
              <w:t>万元。</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批复主要内容：</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1）水土流失防治责任范围0.89hm2。</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2）新增水土保持措施，其中工程措施：挡护工程940m3，排水工程460m3，土石方开挖1065m3；植物措施：整地0.12hm2，植草0.12hm2；监测措施，设备及安装，建设期观测；临时措施，塑料彩条布遮盖5200m2，编织袋拦挡4100m3。</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3）水土保持投资111.99万元，水土保持措施投资84.23万元，其中主体已列24.2万元，新增投资60.03（工程措施46.01万元、植物措施0.08万元、监测措施5万元、临时措施8.94万元）。</w:t>
            </w:r>
          </w:p>
          <w:p>
            <w:pPr>
              <w:snapToGrid w:val="0"/>
              <w:spacing w:line="56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rPr>
              <w:t>4）水土保持补偿费1.16万元。</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（三）水土保持初步设计情况</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项目水土保持</w:t>
            </w:r>
            <w:r>
              <w:rPr>
                <w:rFonts w:hint="eastAsia" w:ascii="Times New Roman" w:hAnsi="Times New Roman" w:eastAsia="仿宋_GB2312" w:cs="Times New Roman"/>
                <w:sz w:val="28"/>
                <w:szCs w:val="28"/>
                <w:lang w:eastAsia="zh-CN"/>
              </w:rPr>
              <w:t>措施</w:t>
            </w:r>
            <w:r>
              <w:rPr>
                <w:rFonts w:hint="default" w:ascii="Times New Roman" w:hAnsi="Times New Roman" w:eastAsia="仿宋_GB2312" w:cs="Times New Roman"/>
                <w:sz w:val="28"/>
                <w:szCs w:val="28"/>
                <w:lang w:eastAsia="zh-CN"/>
              </w:rPr>
              <w:t>后续</w:t>
            </w:r>
            <w:r>
              <w:rPr>
                <w:rFonts w:hint="eastAsia" w:ascii="Times New Roman" w:hAnsi="Times New Roman" w:eastAsia="仿宋_GB2312" w:cs="Times New Roman"/>
                <w:sz w:val="28"/>
                <w:szCs w:val="28"/>
                <w:lang w:eastAsia="zh-CN"/>
              </w:rPr>
              <w:t>设计</w:t>
            </w:r>
            <w:r>
              <w:rPr>
                <w:rFonts w:hint="default" w:ascii="Times New Roman" w:hAnsi="Times New Roman" w:eastAsia="仿宋_GB2312" w:cs="Times New Roman"/>
                <w:sz w:val="28"/>
                <w:szCs w:val="28"/>
                <w:lang w:eastAsia="zh-CN"/>
              </w:rPr>
              <w:t>纳入主体工程一并进行设计</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设计</w:t>
            </w:r>
            <w:r>
              <w:rPr>
                <w:rFonts w:hint="eastAsia" w:ascii="Times New Roman" w:hAnsi="Times New Roman" w:eastAsia="仿宋_GB2312" w:cs="Times New Roman"/>
                <w:sz w:val="28"/>
                <w:szCs w:val="28"/>
                <w:lang w:eastAsia="zh-CN"/>
              </w:rPr>
              <w:t>单位为</w:t>
            </w:r>
            <w:r>
              <w:rPr>
                <w:rFonts w:hint="eastAsia" w:ascii="Times New Roman" w:hAnsi="Times New Roman" w:eastAsia="仿宋_GB2312" w:cs="Times New Roman"/>
                <w:color w:val="000000" w:themeColor="text1"/>
                <w:kern w:val="0"/>
                <w:sz w:val="28"/>
                <w:szCs w:val="28"/>
                <w:lang w:eastAsia="zh-CN"/>
                <w14:textFill>
                  <w14:solidFill>
                    <w14:schemeClr w14:val="tx1"/>
                  </w14:solidFill>
                </w14:textFill>
              </w:rPr>
              <w:t>四川南充电力设计有限公司</w:t>
            </w:r>
            <w:r>
              <w:rPr>
                <w:rFonts w:hint="eastAsia" w:ascii="Times New Roman" w:hAnsi="Times New Roman" w:eastAsia="仿宋_GB2312" w:cs="Times New Roman"/>
                <w:sz w:val="28"/>
                <w:szCs w:val="28"/>
                <w:lang w:eastAsia="zh-CN"/>
              </w:rPr>
              <w:t>。</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w:t>
            </w:r>
            <w:r>
              <w:rPr>
                <w:rFonts w:hint="default" w:ascii="Times New Roman" w:hAnsi="Times New Roman" w:eastAsia="仿宋_GB2312" w:cs="Times New Roman"/>
                <w:sz w:val="28"/>
                <w:szCs w:val="28"/>
                <w:lang w:eastAsia="zh-CN"/>
              </w:rPr>
              <w:t>四</w:t>
            </w:r>
            <w:r>
              <w:rPr>
                <w:rFonts w:hint="default" w:ascii="Times New Roman" w:hAnsi="Times New Roman" w:eastAsia="仿宋_GB2312" w:cs="Times New Roman"/>
                <w:sz w:val="28"/>
                <w:szCs w:val="28"/>
              </w:rPr>
              <w:t xml:space="preserve">）水土保持监测情况 </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项目加强施工工序管理，严格遵照水土保持要求操作，同时监测工程造成水土流失情况，由于工程扰动地表面积较小、土石方量较小、加之采取严格水土保持措施，造成水土流失危害轻微</w:t>
            </w:r>
            <w:r>
              <w:rPr>
                <w:rFonts w:hint="default" w:ascii="Times New Roman" w:hAnsi="Times New Roman" w:eastAsia="仿宋_GB2312" w:cs="Times New Roman"/>
                <w:sz w:val="28"/>
                <w:szCs w:val="28"/>
                <w:lang w:eastAsia="zh-CN"/>
              </w:rPr>
              <w:t>。</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w:t>
            </w:r>
            <w:r>
              <w:rPr>
                <w:rFonts w:hint="default" w:ascii="Times New Roman" w:hAnsi="Times New Roman" w:eastAsia="仿宋_GB2312" w:cs="Times New Roman"/>
                <w:sz w:val="28"/>
                <w:szCs w:val="28"/>
                <w:lang w:eastAsia="zh-CN"/>
              </w:rPr>
              <w:t>五</w:t>
            </w:r>
            <w:r>
              <w:rPr>
                <w:rFonts w:hint="default" w:ascii="Times New Roman" w:hAnsi="Times New Roman" w:eastAsia="仿宋_GB2312" w:cs="Times New Roman"/>
                <w:sz w:val="28"/>
                <w:szCs w:val="28"/>
              </w:rPr>
              <w:t xml:space="preserve">）验收报告编制情况和主要结论 </w:t>
            </w:r>
          </w:p>
          <w:p>
            <w:pPr>
              <w:snapToGrid w:val="0"/>
              <w:spacing w:line="56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rPr>
              <w:t>20</w:t>
            </w:r>
            <w:r>
              <w:rPr>
                <w:rFonts w:hint="eastAsia" w:ascii="Times New Roman" w:hAnsi="Times New Roman" w:eastAsia="仿宋_GB2312" w:cs="Times New Roman"/>
                <w:sz w:val="28"/>
                <w:szCs w:val="28"/>
                <w:lang w:val="en-US" w:eastAsia="zh-CN"/>
              </w:rPr>
              <w:t>20</w:t>
            </w:r>
            <w:r>
              <w:rPr>
                <w:rFonts w:hint="default" w:ascii="Times New Roman" w:hAnsi="Times New Roman" w:eastAsia="仿宋_GB2312" w:cs="Times New Roman"/>
                <w:sz w:val="28"/>
                <w:szCs w:val="28"/>
              </w:rPr>
              <w:t xml:space="preserve"> 年</w:t>
            </w:r>
            <w:r>
              <w:rPr>
                <w:rFonts w:hint="eastAsia" w:ascii="Times New Roman" w:hAnsi="Times New Roman" w:eastAsia="仿宋_GB2312" w:cs="Times New Roman"/>
                <w:sz w:val="28"/>
                <w:szCs w:val="28"/>
                <w:lang w:val="en-US" w:eastAsia="zh-CN"/>
              </w:rPr>
              <w:t>6</w:t>
            </w:r>
            <w:r>
              <w:rPr>
                <w:rFonts w:hint="default" w:ascii="Times New Roman" w:hAnsi="Times New Roman" w:eastAsia="仿宋_GB2312" w:cs="Times New Roman"/>
                <w:sz w:val="28"/>
                <w:szCs w:val="28"/>
              </w:rPr>
              <w:t>月，</w:t>
            </w:r>
            <w:r>
              <w:rPr>
                <w:rFonts w:hint="default" w:ascii="Times New Roman" w:hAnsi="Times New Roman" w:eastAsia="仿宋_GB2312" w:cs="Times New Roman"/>
                <w:sz w:val="28"/>
                <w:szCs w:val="28"/>
                <w:lang w:eastAsia="zh-CN"/>
              </w:rPr>
              <w:t>建设单位委托四川眉山华能工程技术咨询设计有限公司编制水土保持设施验收报告，</w:t>
            </w:r>
            <w:r>
              <w:rPr>
                <w:rFonts w:hint="default" w:ascii="Times New Roman" w:hAnsi="Times New Roman" w:eastAsia="仿宋_GB2312" w:cs="Times New Roman"/>
                <w:sz w:val="28"/>
                <w:szCs w:val="28"/>
                <w:lang w:val="en-US" w:eastAsia="zh-CN"/>
              </w:rPr>
              <w:t>2020年7月，四川眉山华能工程技术咨询设计有限公司对南充西充观音110kV输变电工程水土保持设施验建设进行了现场复核，有关情况如下：</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建设单位在工程建设过程中，水土保持审批手续齐备，管理组织机构完善，制度建设及档案管理规范。工程现已建设完成，水土保持措施总体布局为工程措施、植物措施与管理措施相结合，形成完整的防护体系。</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完成的工程量：</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①</w:t>
            </w:r>
            <w:r>
              <w:rPr>
                <w:rFonts w:hint="eastAsia" w:ascii="Times New Roman" w:hAnsi="Times New Roman" w:eastAsia="仿宋_GB2312" w:cs="Times New Roman"/>
                <w:sz w:val="28"/>
                <w:szCs w:val="28"/>
                <w:lang w:eastAsia="zh-CN"/>
              </w:rPr>
              <w:t>工程措施：土石方开挖</w:t>
            </w:r>
            <w:r>
              <w:rPr>
                <w:rFonts w:hint="eastAsia" w:ascii="Times New Roman" w:hAnsi="Times New Roman" w:eastAsia="仿宋_GB2312" w:cs="Times New Roman"/>
                <w:sz w:val="28"/>
                <w:szCs w:val="28"/>
                <w:lang w:val="en-US" w:eastAsia="zh-CN"/>
              </w:rPr>
              <w:t>1065</w:t>
            </w:r>
            <w:r>
              <w:rPr>
                <w:rFonts w:hint="default" w:ascii="Times New Roman" w:hAnsi="Times New Roman" w:eastAsia="仿宋_GB2312" w:cs="Times New Roman"/>
                <w:sz w:val="28"/>
                <w:szCs w:val="28"/>
                <w:lang w:eastAsia="zh-CN"/>
              </w:rPr>
              <w:t>m³，M7.5浆砌石</w:t>
            </w:r>
            <w:r>
              <w:rPr>
                <w:rFonts w:hint="eastAsia" w:ascii="Times New Roman" w:hAnsi="Times New Roman" w:eastAsia="仿宋_GB2312" w:cs="Times New Roman"/>
                <w:sz w:val="28"/>
                <w:szCs w:val="28"/>
                <w:lang w:eastAsia="zh-CN"/>
              </w:rPr>
              <w:t>防护</w:t>
            </w:r>
            <w:r>
              <w:rPr>
                <w:rFonts w:hint="eastAsia" w:ascii="Times New Roman" w:hAnsi="Times New Roman" w:eastAsia="仿宋_GB2312" w:cs="Times New Roman"/>
                <w:sz w:val="28"/>
                <w:szCs w:val="28"/>
                <w:lang w:val="en-US" w:eastAsia="zh-CN"/>
              </w:rPr>
              <w:t>940</w:t>
            </w:r>
            <w:r>
              <w:rPr>
                <w:rFonts w:hint="default" w:ascii="Times New Roman" w:hAnsi="Times New Roman" w:eastAsia="仿宋_GB2312" w:cs="Times New Roman"/>
                <w:sz w:val="28"/>
                <w:szCs w:val="28"/>
                <w:lang w:eastAsia="zh-CN"/>
              </w:rPr>
              <w:t>m³，</w:t>
            </w:r>
            <w:r>
              <w:rPr>
                <w:rFonts w:hint="eastAsia" w:ascii="Times New Roman" w:hAnsi="Times New Roman" w:eastAsia="仿宋_GB2312" w:cs="Times New Roman"/>
                <w:sz w:val="28"/>
                <w:szCs w:val="28"/>
                <w:lang w:eastAsia="zh-CN"/>
              </w:rPr>
              <w:t>排水工程浆砌石防护</w:t>
            </w:r>
            <w:r>
              <w:rPr>
                <w:rFonts w:hint="eastAsia" w:ascii="Times New Roman" w:hAnsi="Times New Roman" w:eastAsia="仿宋_GB2312" w:cs="Times New Roman"/>
                <w:sz w:val="28"/>
                <w:szCs w:val="28"/>
                <w:lang w:val="en-US" w:eastAsia="zh-CN"/>
              </w:rPr>
              <w:t>460</w:t>
            </w:r>
            <w:r>
              <w:rPr>
                <w:rFonts w:hint="default" w:ascii="Times New Roman" w:hAnsi="Times New Roman" w:eastAsia="仿宋_GB2312" w:cs="Times New Roman"/>
                <w:sz w:val="28"/>
                <w:szCs w:val="28"/>
                <w:lang w:eastAsia="zh-CN"/>
              </w:rPr>
              <w:t>m³。</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②植物措施：</w:t>
            </w:r>
            <w:r>
              <w:rPr>
                <w:rFonts w:hint="eastAsia" w:ascii="Times New Roman" w:hAnsi="Times New Roman" w:eastAsia="仿宋_GB2312" w:cs="Times New Roman"/>
                <w:sz w:val="28"/>
                <w:szCs w:val="28"/>
                <w:lang w:eastAsia="zh-CN"/>
              </w:rPr>
              <w:t>全面整地0.16hm2，植草绿化0.16hm2，撒播草籽0.06hm2</w:t>
            </w:r>
            <w:r>
              <w:rPr>
                <w:rFonts w:hint="default" w:ascii="Times New Roman" w:hAnsi="Times New Roman" w:eastAsia="仿宋_GB2312" w:cs="Times New Roman"/>
                <w:sz w:val="28"/>
                <w:szCs w:val="28"/>
                <w:lang w:eastAsia="zh-CN"/>
              </w:rPr>
              <w:t>。</w:t>
            </w:r>
          </w:p>
          <w:p>
            <w:pPr>
              <w:snapToGrid w:val="0"/>
              <w:spacing w:line="560" w:lineRule="exact"/>
              <w:ind w:firstLine="560" w:firstLineChars="200"/>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eastAsia="zh-CN"/>
              </w:rPr>
              <w:t>③临时措施：</w:t>
            </w:r>
            <w:r>
              <w:rPr>
                <w:rFonts w:hint="eastAsia" w:ascii="Times New Roman" w:hAnsi="Times New Roman" w:eastAsia="仿宋_GB2312" w:cs="Times New Roman"/>
                <w:sz w:val="28"/>
                <w:szCs w:val="28"/>
                <w:lang w:eastAsia="zh-CN"/>
              </w:rPr>
              <w:t>编织袋挡墙</w:t>
            </w:r>
            <w:r>
              <w:rPr>
                <w:rFonts w:hint="eastAsia" w:ascii="Times New Roman" w:hAnsi="Times New Roman" w:eastAsia="仿宋_GB2312" w:cs="Times New Roman"/>
                <w:sz w:val="28"/>
                <w:szCs w:val="28"/>
                <w:lang w:val="en-US" w:eastAsia="zh-CN"/>
              </w:rPr>
              <w:t>4100</w:t>
            </w:r>
            <w:r>
              <w:rPr>
                <w:rFonts w:hint="default" w:ascii="Times New Roman" w:hAnsi="Times New Roman" w:eastAsia="仿宋_GB2312" w:cs="Times New Roman"/>
                <w:sz w:val="28"/>
                <w:szCs w:val="28"/>
                <w:lang w:eastAsia="zh-CN"/>
              </w:rPr>
              <w:t>m³，</w:t>
            </w:r>
            <w:r>
              <w:rPr>
                <w:rFonts w:hint="eastAsia" w:ascii="Times New Roman" w:hAnsi="Times New Roman" w:eastAsia="仿宋_GB2312" w:cs="Times New Roman"/>
                <w:sz w:val="28"/>
                <w:szCs w:val="28"/>
                <w:lang w:eastAsia="zh-CN"/>
              </w:rPr>
              <w:t>塑料彩条布</w:t>
            </w:r>
            <w:r>
              <w:rPr>
                <w:rFonts w:hint="eastAsia" w:ascii="Times New Roman" w:hAnsi="Times New Roman" w:eastAsia="仿宋_GB2312" w:cs="Times New Roman"/>
                <w:sz w:val="28"/>
                <w:szCs w:val="28"/>
                <w:lang w:val="en-US" w:eastAsia="zh-CN"/>
              </w:rPr>
              <w:t>6000</w:t>
            </w:r>
            <w:r>
              <w:rPr>
                <w:rFonts w:hint="default" w:ascii="Times New Roman" w:hAnsi="Times New Roman" w:eastAsia="仿宋_GB2312" w:cs="Times New Roman"/>
                <w:sz w:val="28"/>
                <w:szCs w:val="28"/>
                <w:lang w:eastAsia="zh-CN"/>
              </w:rPr>
              <w:t>m²。</w:t>
            </w:r>
            <w:r>
              <w:rPr>
                <w:rFonts w:hint="default" w:ascii="Times New Roman" w:hAnsi="Times New Roman" w:eastAsia="仿宋_GB2312" w:cs="Times New Roman"/>
                <w:sz w:val="28"/>
                <w:szCs w:val="28"/>
                <w:lang w:eastAsia="zh-CN"/>
              </w:rPr>
              <w:br w:type="textWrapping"/>
            </w:r>
            <w:r>
              <w:rPr>
                <w:rFonts w:hint="eastAsia" w:ascii="Times New Roman" w:hAnsi="Times New Roman" w:eastAsia="仿宋_GB2312" w:cs="Times New Roman"/>
                <w:sz w:val="28"/>
                <w:szCs w:val="28"/>
                <w:lang w:val="en-US" w:eastAsia="zh-CN"/>
              </w:rPr>
              <w:t xml:space="preserve">    ④本工程完成水土保持投资112.31万元，占批复投资的100.2%；其中水土保持措施投资81.52万元（列入主体工程投资24.2万元，新增投资57.32万元，新增包括工程措施46.01万元、植物措施0.10万元、监测措施2万元、临时措施9.24万元）。占批复水土保持措施投资的100.2%。与批复的水土保持投资基本一致。</w:t>
            </w:r>
            <w:r>
              <w:rPr>
                <w:rFonts w:hint="eastAsia" w:ascii="Times New Roman" w:hAnsi="Times New Roman" w:eastAsia="仿宋_GB2312" w:cs="Times New Roman"/>
                <w:sz w:val="28"/>
                <w:szCs w:val="28"/>
                <w:lang w:val="en-US" w:eastAsia="zh-CN"/>
              </w:rPr>
              <w:br w:type="textWrapping"/>
            </w:r>
            <w:r>
              <w:rPr>
                <w:rFonts w:hint="eastAsia" w:ascii="Times New Roman" w:hAnsi="Times New Roman" w:eastAsia="仿宋_GB2312" w:cs="Times New Roman"/>
                <w:sz w:val="28"/>
                <w:szCs w:val="28"/>
                <w:lang w:val="en-US" w:eastAsia="zh-CN"/>
              </w:rPr>
              <w:t xml:space="preserve">    ⑤项目实际发生的水土保持防治责任范围与方案批复一致，</w:t>
            </w:r>
            <w:r>
              <w:rPr>
                <w:rFonts w:hint="default" w:ascii="Times New Roman" w:hAnsi="Times New Roman" w:eastAsia="仿宋_GB2312" w:cs="Times New Roman"/>
                <w:sz w:val="28"/>
                <w:szCs w:val="28"/>
                <w:lang w:eastAsia="zh-CN"/>
              </w:rPr>
              <w:t>面积共计</w:t>
            </w:r>
            <w:r>
              <w:rPr>
                <w:rFonts w:hint="eastAsia" w:ascii="Times New Roman" w:hAnsi="Times New Roman" w:eastAsia="仿宋_GB2312" w:cs="Times New Roman"/>
                <w:sz w:val="28"/>
                <w:szCs w:val="28"/>
                <w:lang w:val="en-US" w:eastAsia="zh-CN"/>
              </w:rPr>
              <w:t>0.89</w:t>
            </w:r>
            <w:r>
              <w:rPr>
                <w:rFonts w:hint="default" w:ascii="Times New Roman" w:hAnsi="Times New Roman" w:eastAsia="仿宋_GB2312" w:cs="Times New Roman"/>
                <w:sz w:val="28"/>
                <w:szCs w:val="28"/>
                <w:lang w:val="en-US" w:eastAsia="zh-CN"/>
              </w:rPr>
              <w:t>hm²</w:t>
            </w:r>
            <w:r>
              <w:rPr>
                <w:rFonts w:hint="eastAsia" w:ascii="Times New Roman" w:hAnsi="Times New Roman" w:eastAsia="仿宋_GB2312" w:cs="Times New Roman"/>
                <w:sz w:val="28"/>
                <w:szCs w:val="28"/>
                <w:lang w:val="en-US" w:eastAsia="zh-CN"/>
              </w:rPr>
              <w:t>。</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通过各项水土保持措施的实施，水土流失防治效果明显，防治责任范围内扰动土地整治率为</w:t>
            </w:r>
            <w:r>
              <w:rPr>
                <w:rFonts w:hint="eastAsia" w:ascii="Times New Roman" w:hAnsi="Times New Roman" w:eastAsia="仿宋_GB2312" w:cs="Times New Roman"/>
                <w:sz w:val="28"/>
                <w:szCs w:val="28"/>
                <w:lang w:val="en-US" w:eastAsia="zh-CN"/>
              </w:rPr>
              <w:t>100</w:t>
            </w:r>
            <w:r>
              <w:rPr>
                <w:rFonts w:hint="default" w:ascii="Times New Roman" w:hAnsi="Times New Roman" w:eastAsia="仿宋_GB2312" w:cs="Times New Roman"/>
                <w:sz w:val="28"/>
                <w:szCs w:val="28"/>
                <w:lang w:eastAsia="zh-CN"/>
              </w:rPr>
              <w:t>%，水土流失总治理度为</w:t>
            </w:r>
            <w:r>
              <w:rPr>
                <w:rFonts w:hint="eastAsia" w:ascii="Times New Roman" w:hAnsi="Times New Roman" w:eastAsia="仿宋_GB2312" w:cs="Times New Roman"/>
                <w:sz w:val="28"/>
                <w:szCs w:val="28"/>
                <w:lang w:val="en-US" w:eastAsia="zh-CN"/>
              </w:rPr>
              <w:t>100</w:t>
            </w:r>
            <w:r>
              <w:rPr>
                <w:rFonts w:hint="default" w:ascii="Times New Roman" w:hAnsi="Times New Roman" w:eastAsia="仿宋_GB2312" w:cs="Times New Roman"/>
                <w:sz w:val="28"/>
                <w:szCs w:val="28"/>
                <w:lang w:eastAsia="zh-CN"/>
              </w:rPr>
              <w:t>%，拦渣率为</w:t>
            </w:r>
            <w:r>
              <w:rPr>
                <w:rFonts w:hint="eastAsia" w:ascii="Times New Roman" w:hAnsi="Times New Roman" w:eastAsia="仿宋_GB2312" w:cs="Times New Roman"/>
                <w:sz w:val="28"/>
                <w:szCs w:val="28"/>
                <w:lang w:val="en-US" w:eastAsia="zh-CN"/>
              </w:rPr>
              <w:t>100</w:t>
            </w:r>
            <w:r>
              <w:rPr>
                <w:rFonts w:hint="default" w:ascii="Times New Roman" w:hAnsi="Times New Roman" w:eastAsia="仿宋_GB2312" w:cs="Times New Roman"/>
                <w:sz w:val="28"/>
                <w:szCs w:val="28"/>
                <w:lang w:eastAsia="zh-CN"/>
              </w:rPr>
              <w:t>%，土壤流失控制比为1.0，林草植被恢复率</w:t>
            </w:r>
            <w:r>
              <w:rPr>
                <w:rFonts w:hint="eastAsia" w:ascii="Times New Roman" w:hAnsi="Times New Roman" w:eastAsia="仿宋_GB2312" w:cs="Times New Roman"/>
                <w:sz w:val="28"/>
                <w:szCs w:val="28"/>
                <w:lang w:val="en-US" w:eastAsia="zh-CN"/>
              </w:rPr>
              <w:t>100</w:t>
            </w:r>
            <w:r>
              <w:rPr>
                <w:rFonts w:hint="default" w:ascii="Times New Roman" w:hAnsi="Times New Roman" w:eastAsia="仿宋_GB2312" w:cs="Times New Roman"/>
                <w:sz w:val="28"/>
                <w:szCs w:val="28"/>
                <w:lang w:val="en-US" w:eastAsia="zh-CN"/>
              </w:rPr>
              <w:t>%，林草覆盖率为</w:t>
            </w:r>
            <w:r>
              <w:rPr>
                <w:rFonts w:hint="eastAsia" w:ascii="Times New Roman" w:hAnsi="Times New Roman" w:eastAsia="仿宋_GB2312" w:cs="Times New Roman"/>
                <w:sz w:val="28"/>
                <w:szCs w:val="28"/>
                <w:lang w:val="en-US" w:eastAsia="zh-CN"/>
              </w:rPr>
              <w:t>25</w:t>
            </w:r>
            <w:r>
              <w:rPr>
                <w:rFonts w:hint="default" w:ascii="Times New Roman" w:hAnsi="Times New Roman" w:eastAsia="仿宋_GB2312" w:cs="Times New Roman"/>
                <w:sz w:val="28"/>
                <w:szCs w:val="28"/>
                <w:lang w:val="en-US" w:eastAsia="zh-CN"/>
              </w:rPr>
              <w:t>%，六项指标均达标，项目水土流失得到了控制，基本满足水土保持要求。</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lang w:eastAsia="zh-CN"/>
              </w:rPr>
              <w:t>（六）验收结论</w:t>
            </w:r>
            <w:r>
              <w:rPr>
                <w:rFonts w:hint="default" w:ascii="Times New Roman" w:hAnsi="Times New Roman" w:eastAsia="仿宋_GB2312" w:cs="Times New Roman"/>
                <w:sz w:val="28"/>
                <w:szCs w:val="28"/>
              </w:rPr>
              <w:t xml:space="preserve"> </w:t>
            </w:r>
          </w:p>
          <w:p>
            <w:pPr>
              <w:snapToGrid w:val="0"/>
              <w:spacing w:line="560" w:lineRule="exact"/>
              <w:ind w:firstLine="560" w:firstLineChars="200"/>
              <w:rPr>
                <w:rFonts w:hint="default"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val="en-US" w:eastAsia="zh-CN"/>
              </w:rPr>
              <w:t>1</w:t>
            </w:r>
            <w:r>
              <w:rPr>
                <w:rFonts w:hint="eastAsia" w:ascii="Times New Roman" w:hAnsi="Times New Roman" w:eastAsia="仿宋_GB2312" w:cs="Times New Roman"/>
                <w:color w:val="auto"/>
                <w:sz w:val="28"/>
                <w:szCs w:val="28"/>
                <w:lang w:eastAsia="zh-CN"/>
              </w:rPr>
              <w:t>）本项目按照要求编报了</w:t>
            </w:r>
            <w:r>
              <w:rPr>
                <w:rFonts w:hint="default" w:ascii="Times New Roman" w:hAnsi="Times New Roman" w:eastAsia="仿宋_GB2312" w:cs="Times New Roman"/>
                <w:color w:val="auto"/>
                <w:sz w:val="28"/>
                <w:szCs w:val="28"/>
                <w:lang w:eastAsia="zh-CN"/>
              </w:rPr>
              <w:t>水土保持方案</w:t>
            </w:r>
            <w:r>
              <w:rPr>
                <w:rFonts w:hint="eastAsia" w:ascii="Times New Roman" w:hAnsi="Times New Roman" w:eastAsia="仿宋_GB2312" w:cs="Times New Roman"/>
                <w:color w:val="auto"/>
                <w:sz w:val="28"/>
                <w:szCs w:val="28"/>
                <w:lang w:eastAsia="zh-CN"/>
              </w:rPr>
              <w:t>，工程无</w:t>
            </w:r>
            <w:r>
              <w:rPr>
                <w:rFonts w:hint="default" w:ascii="Times New Roman" w:hAnsi="Times New Roman" w:eastAsia="仿宋_GB2312" w:cs="Times New Roman"/>
                <w:color w:val="auto"/>
                <w:sz w:val="28"/>
                <w:szCs w:val="28"/>
                <w:lang w:eastAsia="zh-CN"/>
              </w:rPr>
              <w:t>重大变更。</w:t>
            </w:r>
          </w:p>
          <w:p>
            <w:pPr>
              <w:snapToGrid w:val="0"/>
              <w:spacing w:line="560" w:lineRule="exact"/>
              <w:ind w:firstLine="560" w:firstLineChars="200"/>
              <w:rPr>
                <w:rFonts w:hint="default"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val="en-US" w:eastAsia="zh-CN"/>
              </w:rPr>
              <w:t>2</w:t>
            </w:r>
            <w:r>
              <w:rPr>
                <w:rFonts w:hint="eastAsia" w:ascii="Times New Roman" w:hAnsi="Times New Roman" w:eastAsia="仿宋_GB2312" w:cs="Times New Roman"/>
                <w:color w:val="auto"/>
                <w:sz w:val="28"/>
                <w:szCs w:val="28"/>
                <w:lang w:eastAsia="zh-CN"/>
              </w:rPr>
              <w:t>）按照要求本项目不涉及水土保持监测</w:t>
            </w:r>
            <w:r>
              <w:rPr>
                <w:rFonts w:hint="default" w:ascii="Times New Roman" w:hAnsi="Times New Roman" w:eastAsia="仿宋_GB2312" w:cs="Times New Roman"/>
                <w:color w:val="auto"/>
                <w:sz w:val="28"/>
                <w:szCs w:val="28"/>
                <w:lang w:eastAsia="zh-CN"/>
              </w:rPr>
              <w:t>。</w:t>
            </w:r>
          </w:p>
          <w:p>
            <w:pPr>
              <w:snapToGrid w:val="0"/>
              <w:spacing w:line="560" w:lineRule="exact"/>
              <w:ind w:firstLine="560" w:firstLineChars="200"/>
              <w:rPr>
                <w:rFonts w:hint="default"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val="en-US" w:eastAsia="zh-CN"/>
              </w:rPr>
              <w:t>3</w:t>
            </w:r>
            <w:r>
              <w:rPr>
                <w:rFonts w:hint="eastAsia" w:ascii="Times New Roman" w:hAnsi="Times New Roman" w:eastAsia="仿宋_GB2312" w:cs="Times New Roman"/>
                <w:color w:val="auto"/>
                <w:sz w:val="28"/>
                <w:szCs w:val="28"/>
                <w:lang w:eastAsia="zh-CN"/>
              </w:rPr>
              <w:t>）本项目挖填方基本平衡，未产生弃土、石、渣量</w:t>
            </w:r>
            <w:r>
              <w:rPr>
                <w:rFonts w:hint="default" w:ascii="Times New Roman" w:hAnsi="Times New Roman" w:eastAsia="仿宋_GB2312" w:cs="Times New Roman"/>
                <w:color w:val="auto"/>
                <w:sz w:val="28"/>
                <w:szCs w:val="28"/>
                <w:lang w:eastAsia="zh-CN"/>
              </w:rPr>
              <w:t>。</w:t>
            </w:r>
          </w:p>
          <w:p>
            <w:pPr>
              <w:snapToGrid w:val="0"/>
              <w:spacing w:line="560" w:lineRule="exact"/>
              <w:ind w:firstLine="560" w:firstLineChars="200"/>
              <w:rPr>
                <w:rFonts w:hint="default"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val="en-US" w:eastAsia="zh-CN"/>
              </w:rPr>
              <w:t>4</w:t>
            </w:r>
            <w:r>
              <w:rPr>
                <w:rFonts w:hint="eastAsia" w:ascii="Times New Roman" w:hAnsi="Times New Roman" w:eastAsia="仿宋_GB2312" w:cs="Times New Roman"/>
                <w:color w:val="auto"/>
                <w:sz w:val="28"/>
                <w:szCs w:val="28"/>
                <w:lang w:eastAsia="zh-CN"/>
              </w:rPr>
              <w:t>）</w:t>
            </w:r>
            <w:r>
              <w:rPr>
                <w:rFonts w:hint="default" w:ascii="Times New Roman" w:hAnsi="Times New Roman" w:eastAsia="仿宋_GB2312" w:cs="Times New Roman"/>
                <w:color w:val="auto"/>
                <w:sz w:val="28"/>
                <w:szCs w:val="28"/>
                <w:lang w:eastAsia="zh-CN"/>
              </w:rPr>
              <w:t>水土保持措施体系、等级和标准</w:t>
            </w:r>
            <w:r>
              <w:rPr>
                <w:rFonts w:hint="eastAsia" w:ascii="Times New Roman" w:hAnsi="Times New Roman" w:eastAsia="仿宋_GB2312" w:cs="Times New Roman"/>
                <w:color w:val="auto"/>
                <w:sz w:val="28"/>
                <w:szCs w:val="28"/>
                <w:lang w:eastAsia="zh-CN"/>
              </w:rPr>
              <w:t>基本上按照</w:t>
            </w:r>
            <w:r>
              <w:rPr>
                <w:rFonts w:hint="default" w:ascii="Times New Roman" w:hAnsi="Times New Roman" w:eastAsia="仿宋_GB2312" w:cs="Times New Roman"/>
                <w:color w:val="auto"/>
                <w:sz w:val="28"/>
                <w:szCs w:val="28"/>
                <w:lang w:eastAsia="zh-CN"/>
              </w:rPr>
              <w:t>批准的水土保持方案要求</w:t>
            </w:r>
            <w:r>
              <w:rPr>
                <w:rFonts w:hint="eastAsia" w:ascii="Times New Roman" w:hAnsi="Times New Roman" w:eastAsia="仿宋_GB2312" w:cs="Times New Roman"/>
                <w:color w:val="auto"/>
                <w:sz w:val="28"/>
                <w:szCs w:val="28"/>
                <w:lang w:eastAsia="zh-CN"/>
              </w:rPr>
              <w:t>进行</w:t>
            </w:r>
            <w:r>
              <w:rPr>
                <w:rFonts w:hint="default" w:ascii="Times New Roman" w:hAnsi="Times New Roman" w:eastAsia="仿宋_GB2312" w:cs="Times New Roman"/>
                <w:color w:val="auto"/>
                <w:sz w:val="28"/>
                <w:szCs w:val="28"/>
                <w:lang w:eastAsia="zh-CN"/>
              </w:rPr>
              <w:t>落实。</w:t>
            </w:r>
          </w:p>
          <w:p>
            <w:pPr>
              <w:snapToGrid w:val="0"/>
              <w:spacing w:line="560" w:lineRule="exact"/>
              <w:ind w:firstLine="560" w:firstLineChars="200"/>
              <w:rPr>
                <w:rFonts w:hint="default" w:ascii="Times New Roman" w:hAnsi="Times New Roman" w:eastAsia="仿宋_GB2312" w:cs="Times New Roman"/>
                <w:color w:val="auto"/>
                <w:sz w:val="28"/>
                <w:szCs w:val="28"/>
                <w:lang w:eastAsia="zh-CN"/>
              </w:rPr>
            </w:pPr>
            <w:r>
              <w:rPr>
                <w:rFonts w:hint="eastAsia" w:ascii="Times New Roman" w:hAnsi="Times New Roman" w:eastAsia="仿宋_GB2312" w:cs="Times New Roman"/>
                <w:color w:val="auto"/>
                <w:sz w:val="28"/>
                <w:szCs w:val="28"/>
                <w:lang w:eastAsia="zh-CN"/>
              </w:rPr>
              <w:t>（</w:t>
            </w:r>
            <w:r>
              <w:rPr>
                <w:rFonts w:hint="eastAsia" w:ascii="Times New Roman" w:hAnsi="Times New Roman" w:eastAsia="仿宋_GB2312" w:cs="Times New Roman"/>
                <w:color w:val="auto"/>
                <w:sz w:val="28"/>
                <w:szCs w:val="28"/>
                <w:lang w:val="en-US" w:eastAsia="zh-CN"/>
              </w:rPr>
              <w:t>5</w:t>
            </w:r>
            <w:r>
              <w:rPr>
                <w:rFonts w:hint="eastAsia" w:ascii="Times New Roman" w:hAnsi="Times New Roman" w:eastAsia="仿宋_GB2312" w:cs="Times New Roman"/>
                <w:color w:val="auto"/>
                <w:sz w:val="28"/>
                <w:szCs w:val="28"/>
                <w:lang w:eastAsia="zh-CN"/>
              </w:rPr>
              <w:t>）</w:t>
            </w:r>
            <w:r>
              <w:rPr>
                <w:rFonts w:hint="default" w:ascii="Times New Roman" w:hAnsi="Times New Roman" w:eastAsia="仿宋_GB2312" w:cs="Times New Roman"/>
                <w:color w:val="auto"/>
                <w:sz w:val="28"/>
                <w:szCs w:val="28"/>
                <w:lang w:eastAsia="zh-CN"/>
              </w:rPr>
              <w:t>水土流失防治指标</w:t>
            </w:r>
            <w:r>
              <w:rPr>
                <w:rFonts w:hint="eastAsia" w:ascii="Times New Roman" w:hAnsi="Times New Roman" w:eastAsia="仿宋_GB2312" w:cs="Times New Roman"/>
                <w:color w:val="auto"/>
                <w:sz w:val="28"/>
                <w:szCs w:val="28"/>
                <w:lang w:eastAsia="zh-CN"/>
              </w:rPr>
              <w:t>基本</w:t>
            </w:r>
            <w:r>
              <w:rPr>
                <w:rFonts w:hint="default" w:ascii="Times New Roman" w:hAnsi="Times New Roman" w:eastAsia="仿宋_GB2312" w:cs="Times New Roman"/>
                <w:color w:val="auto"/>
                <w:sz w:val="28"/>
                <w:szCs w:val="28"/>
                <w:lang w:eastAsia="zh-CN"/>
              </w:rPr>
              <w:t>达到</w:t>
            </w:r>
            <w:r>
              <w:rPr>
                <w:rFonts w:hint="eastAsia" w:ascii="Times New Roman" w:hAnsi="Times New Roman" w:eastAsia="仿宋_GB2312" w:cs="Times New Roman"/>
                <w:color w:val="auto"/>
                <w:sz w:val="28"/>
                <w:szCs w:val="28"/>
                <w:lang w:eastAsia="zh-CN"/>
              </w:rPr>
              <w:t>了</w:t>
            </w:r>
            <w:r>
              <w:rPr>
                <w:rFonts w:hint="default" w:ascii="Times New Roman" w:hAnsi="Times New Roman" w:eastAsia="仿宋_GB2312" w:cs="Times New Roman"/>
                <w:color w:val="auto"/>
                <w:sz w:val="28"/>
                <w:szCs w:val="28"/>
                <w:lang w:eastAsia="zh-CN"/>
              </w:rPr>
              <w:t>经批准的水土保持方案要求。</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6</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水土保持分部工程和单位工程经验</w:t>
            </w:r>
            <w:r>
              <w:rPr>
                <w:rFonts w:hint="eastAsia" w:ascii="Times New Roman" w:hAnsi="Times New Roman" w:eastAsia="仿宋_GB2312" w:cs="Times New Roman"/>
                <w:sz w:val="28"/>
                <w:szCs w:val="28"/>
                <w:lang w:eastAsia="zh-CN"/>
              </w:rPr>
              <w:t>收全部为</w:t>
            </w:r>
            <w:r>
              <w:rPr>
                <w:rFonts w:hint="default" w:ascii="Times New Roman" w:hAnsi="Times New Roman" w:eastAsia="仿宋_GB2312" w:cs="Times New Roman"/>
                <w:sz w:val="28"/>
                <w:szCs w:val="28"/>
                <w:lang w:eastAsia="zh-CN"/>
              </w:rPr>
              <w:t>合格。</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7</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水土保持设施验收报告、水土保持监测总结报告等材料</w:t>
            </w:r>
            <w:r>
              <w:rPr>
                <w:rFonts w:hint="eastAsia" w:ascii="Times New Roman" w:hAnsi="Times New Roman" w:eastAsia="仿宋_GB2312" w:cs="Times New Roman"/>
                <w:sz w:val="28"/>
                <w:szCs w:val="28"/>
                <w:lang w:eastAsia="zh-CN"/>
              </w:rPr>
              <w:t>真实有效，不存在重</w:t>
            </w:r>
            <w:r>
              <w:rPr>
                <w:rFonts w:hint="default" w:ascii="Times New Roman" w:hAnsi="Times New Roman" w:eastAsia="仿宋_GB2312" w:cs="Times New Roman"/>
                <w:sz w:val="28"/>
                <w:szCs w:val="28"/>
                <w:lang w:eastAsia="zh-CN"/>
              </w:rPr>
              <w:t>大技术问题。</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8</w:t>
            </w:r>
            <w:r>
              <w:rPr>
                <w:rFonts w:hint="eastAsia" w:ascii="Times New Roman" w:hAnsi="Times New Roman" w:eastAsia="仿宋_GB2312" w:cs="Times New Roman"/>
                <w:sz w:val="28"/>
                <w:szCs w:val="28"/>
                <w:lang w:eastAsia="zh-CN"/>
              </w:rPr>
              <w:t>）本项目</w:t>
            </w:r>
            <w:r>
              <w:rPr>
                <w:rFonts w:hint="default" w:ascii="Times New Roman" w:hAnsi="Times New Roman" w:eastAsia="仿宋_GB2312" w:cs="Times New Roman"/>
                <w:sz w:val="28"/>
                <w:szCs w:val="28"/>
                <w:lang w:eastAsia="zh-CN"/>
              </w:rPr>
              <w:t>依法依规缴纳</w:t>
            </w:r>
            <w:r>
              <w:rPr>
                <w:rFonts w:hint="eastAsia" w:ascii="Times New Roman" w:hAnsi="Times New Roman" w:eastAsia="仿宋_GB2312" w:cs="Times New Roman"/>
                <w:sz w:val="28"/>
                <w:szCs w:val="28"/>
                <w:lang w:eastAsia="zh-CN"/>
              </w:rPr>
              <w:t>了</w:t>
            </w:r>
            <w:r>
              <w:rPr>
                <w:rFonts w:hint="default" w:ascii="Times New Roman" w:hAnsi="Times New Roman" w:eastAsia="仿宋_GB2312" w:cs="Times New Roman"/>
                <w:sz w:val="28"/>
                <w:szCs w:val="28"/>
                <w:lang w:eastAsia="zh-CN"/>
              </w:rPr>
              <w:t>水土保持补偿费。</w:t>
            </w:r>
          </w:p>
          <w:p>
            <w:pPr>
              <w:snapToGrid w:val="0"/>
              <w:spacing w:line="560" w:lineRule="exact"/>
              <w:ind w:firstLine="560" w:firstLineChars="200"/>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9</w:t>
            </w:r>
            <w:r>
              <w:rPr>
                <w:rFonts w:hint="eastAsia" w:ascii="Times New Roman" w:hAnsi="Times New Roman" w:eastAsia="仿宋_GB2312" w:cs="Times New Roman"/>
                <w:sz w:val="28"/>
                <w:szCs w:val="28"/>
                <w:lang w:eastAsia="zh-CN"/>
              </w:rPr>
              <w:t>）本项目不</w:t>
            </w:r>
            <w:r>
              <w:rPr>
                <w:rFonts w:hint="default" w:ascii="Times New Roman" w:hAnsi="Times New Roman" w:eastAsia="仿宋_GB2312" w:cs="Times New Roman"/>
                <w:sz w:val="28"/>
                <w:szCs w:val="28"/>
                <w:lang w:eastAsia="zh-CN"/>
              </w:rPr>
              <w:t>存在其它不符合相关法律法规规定情形。</w:t>
            </w:r>
          </w:p>
          <w:p>
            <w:pPr>
              <w:snapToGrid w:val="0"/>
              <w:spacing w:line="560" w:lineRule="exact"/>
              <w:ind w:firstLine="560" w:firstLineChars="200"/>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lang w:eastAsia="zh-CN"/>
              </w:rPr>
              <w:t>（七）后续管护要求</w:t>
            </w:r>
          </w:p>
          <w:p>
            <w:pPr>
              <w:snapToGrid w:val="0"/>
              <w:spacing w:line="560" w:lineRule="exact"/>
              <w:ind w:firstLine="560" w:firstLineChars="200"/>
              <w:rPr>
                <w:rFonts w:hint="eastAsia"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eastAsia="zh-CN"/>
              </w:rPr>
              <w:t>建设单位应定期对排水沟、</w:t>
            </w:r>
            <w:r>
              <w:rPr>
                <w:rFonts w:hint="eastAsia" w:ascii="Times New Roman" w:hAnsi="Times New Roman" w:eastAsia="仿宋_GB2312" w:cs="Times New Roman"/>
                <w:sz w:val="28"/>
                <w:szCs w:val="28"/>
                <w:lang w:eastAsia="zh-CN"/>
              </w:rPr>
              <w:t>沉沙池</w:t>
            </w:r>
            <w:r>
              <w:rPr>
                <w:rFonts w:hint="default" w:ascii="Times New Roman" w:hAnsi="Times New Roman" w:eastAsia="仿宋_GB2312" w:cs="Times New Roman"/>
                <w:sz w:val="28"/>
                <w:szCs w:val="28"/>
                <w:lang w:eastAsia="zh-CN"/>
              </w:rPr>
              <w:t>进行清淤，确保排水设施畅通，加强植被的抚育管理，适时补植林草植被，确保其水土保持功能的持续性和有效性，切实发挥其防治水土流失的作用。</w:t>
            </w:r>
          </w:p>
          <w:p>
            <w:pPr>
              <w:wordWrap w:val="0"/>
              <w:bidi w:val="0"/>
              <w:jc w:val="right"/>
              <w:rPr>
                <w:rFonts w:hint="default"/>
                <w:lang w:val="en-US" w:eastAsia="zh-CN"/>
              </w:rPr>
            </w:pPr>
            <w:r>
              <w:rPr>
                <w:rFonts w:hint="eastAsia" w:ascii="Times New Roman" w:hAnsi="Times New Roman" w:eastAsia="仿宋_GB2312" w:cs="Times New Roman"/>
                <w:sz w:val="28"/>
                <w:szCs w:val="28"/>
                <w:lang w:val="en-US" w:eastAsia="zh-CN"/>
              </w:rPr>
              <w:t xml:space="preserve">       </w:t>
            </w:r>
            <w:r>
              <w:rPr>
                <w:rFonts w:hint="eastAsia"/>
                <w:lang w:val="en-US" w:eastAsia="zh-CN"/>
              </w:rPr>
              <w:t xml:space="preserve">     </w:t>
            </w:r>
          </w:p>
          <w:p>
            <w:pPr>
              <w:pStyle w:val="3"/>
              <w:rPr>
                <w:rFonts w:hint="default"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lang w:val="en-US" w:eastAsia="zh-CN"/>
              </w:rPr>
              <w:t xml:space="preserve">                               2020年7月10日</w:t>
            </w:r>
          </w:p>
        </w:tc>
      </w:tr>
    </w:tbl>
    <w:p>
      <w:pPr>
        <w:outlineLvl w:val="0"/>
        <w:rPr>
          <w:rFonts w:hint="default" w:ascii="Times New Roman" w:hAnsi="Times New Roman" w:eastAsia="仿宋_GB2312" w:cs="Times New Roman"/>
          <w:sz w:val="28"/>
          <w:szCs w:val="28"/>
        </w:rPr>
      </w:pPr>
      <w:r>
        <w:rPr>
          <w:rFonts w:hint="default" w:ascii="Times New Roman" w:hAnsi="Times New Roman" w:eastAsia="仿宋_GB2312" w:cs="Times New Roman"/>
          <w:sz w:val="30"/>
          <w:szCs w:val="30"/>
        </w:rPr>
        <w:br w:type="page"/>
      </w:r>
    </w:p>
    <w:p>
      <w:pPr>
        <w:ind w:firstLine="2730" w:firstLineChars="1300"/>
        <w:rPr>
          <w:rFonts w:hint="eastAsia" w:eastAsiaTheme="minorEastAsia"/>
          <w:lang w:val="en-US" w:eastAsia="zh-CN"/>
        </w:rPr>
      </w:pPr>
      <w:r>
        <w:rPr>
          <w:rFonts w:hint="default"/>
        </w:rPr>
        <w:br w:type="textWrapping"/>
      </w:r>
      <w:r>
        <w:rPr>
          <w:rFonts w:hint="default"/>
        </w:rPr>
        <w:drawing>
          <wp:inline distT="0" distB="0" distL="114300" distR="114300">
            <wp:extent cx="5755005" cy="8141335"/>
            <wp:effectExtent l="0" t="0" r="17145" b="12065"/>
            <wp:docPr id="1" name="图片 1" descr="签到成员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签到成员表"/>
                    <pic:cNvPicPr>
                      <a:picLocks noChangeAspect="1"/>
                    </pic:cNvPicPr>
                  </pic:nvPicPr>
                  <pic:blipFill>
                    <a:blip r:embed="rId5"/>
                    <a:stretch>
                      <a:fillRect/>
                    </a:stretch>
                  </pic:blipFill>
                  <pic:spPr>
                    <a:xfrm>
                      <a:off x="0" y="0"/>
                      <a:ext cx="5755005" cy="8141335"/>
                    </a:xfrm>
                    <a:prstGeom prst="rect">
                      <a:avLst/>
                    </a:prstGeom>
                  </pic:spPr>
                </pic:pic>
              </a:graphicData>
            </a:graphic>
          </wp:inline>
        </w:drawing>
      </w:r>
      <w:r>
        <w:rPr>
          <w:rFonts w:hint="eastAsia" w:eastAsiaTheme="minorEastAsia"/>
          <w:lang w:val="en-US" w:eastAsia="zh-CN"/>
        </w:rPr>
        <w:drawing>
          <wp:inline distT="0" distB="0" distL="114300" distR="114300">
            <wp:extent cx="5755005" cy="8141335"/>
            <wp:effectExtent l="0" t="0" r="17145" b="12065"/>
            <wp:docPr id="2" name="图片 2" descr="验收意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验收意见"/>
                    <pic:cNvPicPr>
                      <a:picLocks noChangeAspect="1"/>
                    </pic:cNvPicPr>
                  </pic:nvPicPr>
                  <pic:blipFill>
                    <a:blip r:embed="rId6"/>
                    <a:stretch>
                      <a:fillRect/>
                    </a:stretch>
                  </pic:blipFill>
                  <pic:spPr>
                    <a:xfrm>
                      <a:off x="0" y="0"/>
                      <a:ext cx="5755005" cy="8141335"/>
                    </a:xfrm>
                    <a:prstGeom prst="rect">
                      <a:avLst/>
                    </a:prstGeom>
                  </pic:spPr>
                </pic:pic>
              </a:graphicData>
            </a:graphic>
          </wp:inline>
        </w:drawing>
      </w:r>
      <w:bookmarkStart w:id="0" w:name="_GoBack"/>
      <w:r>
        <w:rPr>
          <w:rFonts w:hint="eastAsia" w:eastAsiaTheme="minorEastAsia"/>
          <w:lang w:val="en-US" w:eastAsia="zh-CN"/>
        </w:rPr>
        <w:drawing>
          <wp:inline distT="0" distB="0" distL="114300" distR="114300">
            <wp:extent cx="5755005" cy="8141335"/>
            <wp:effectExtent l="0" t="0" r="17145" b="12065"/>
            <wp:docPr id="4" name="图片 4" descr="专家资格证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专家资格证明"/>
                    <pic:cNvPicPr>
                      <a:picLocks noChangeAspect="1"/>
                    </pic:cNvPicPr>
                  </pic:nvPicPr>
                  <pic:blipFill>
                    <a:blip r:embed="rId7"/>
                    <a:stretch>
                      <a:fillRect/>
                    </a:stretch>
                  </pic:blipFill>
                  <pic:spPr>
                    <a:xfrm>
                      <a:off x="0" y="0"/>
                      <a:ext cx="5755005" cy="8141335"/>
                    </a:xfrm>
                    <a:prstGeom prst="rect">
                      <a:avLst/>
                    </a:prstGeom>
                  </pic:spPr>
                </pic:pic>
              </a:graphicData>
            </a:graphic>
          </wp:inline>
        </w:drawing>
      </w:r>
      <w:bookmarkEnd w:id="0"/>
    </w:p>
    <w:sectPr>
      <w:footerReference r:id="rId3" w:type="default"/>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auto"/>
    <w:pitch w:val="default"/>
    <w:sig w:usb0="00000001" w:usb1="080E0000" w:usb2="00000000" w:usb3="00000000" w:csb0="00040000" w:csb1="00000000"/>
  </w:font>
  <w:font w:name="等线">
    <w:altName w:val="微软雅黑"/>
    <w:panose1 w:val="00000000000000000000"/>
    <w:charset w:val="86"/>
    <w:family w:val="auto"/>
    <w:pitch w:val="default"/>
    <w:sig w:usb0="00000000" w:usb1="00000000" w:usb2="00000016" w:usb3="00000000" w:csb0="0004000F" w:csb1="00000000"/>
  </w:font>
  <w:font w:name="等线">
    <w:altName w:val="Arial Unicode MS"/>
    <w:panose1 w:val="00000000000000000000"/>
    <w:charset w:val="00"/>
    <w:family w:val="auto"/>
    <w:pitch w:val="default"/>
    <w:sig w:usb0="00000000" w:usb1="00000000" w:usb2="00000000" w:usb3="00000000" w:csb0="0000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465645869"/>
      <w:showingPlcHdr/>
    </w:sdtPr>
    <w:sdtEndPr>
      <w:rPr>
        <w:sz w:val="21"/>
        <w:szCs w:val="21"/>
      </w:rPr>
    </w:sdtEndPr>
    <w:sdtContent>
      <w:p>
        <w:pPr>
          <w:pStyle w:val="9"/>
          <w:jc w:val="center"/>
        </w:pPr>
      </w:p>
    </w:sdtContent>
  </w:sdt>
  <w:p>
    <w:pPr>
      <w:pStyle w:val="9"/>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2B8"/>
    <w:rsid w:val="00002F3E"/>
    <w:rsid w:val="00011D76"/>
    <w:rsid w:val="00022A6D"/>
    <w:rsid w:val="00040743"/>
    <w:rsid w:val="000709AA"/>
    <w:rsid w:val="00082658"/>
    <w:rsid w:val="00082978"/>
    <w:rsid w:val="0009074A"/>
    <w:rsid w:val="000A3CB8"/>
    <w:rsid w:val="000B7C43"/>
    <w:rsid w:val="000C0EF2"/>
    <w:rsid w:val="000C2F1E"/>
    <w:rsid w:val="000C4BC1"/>
    <w:rsid w:val="000D5333"/>
    <w:rsid w:val="000E02D2"/>
    <w:rsid w:val="000F7719"/>
    <w:rsid w:val="00121F26"/>
    <w:rsid w:val="00123B43"/>
    <w:rsid w:val="00124563"/>
    <w:rsid w:val="001425D8"/>
    <w:rsid w:val="0014450C"/>
    <w:rsid w:val="00147D1F"/>
    <w:rsid w:val="0015092B"/>
    <w:rsid w:val="001557A9"/>
    <w:rsid w:val="00156391"/>
    <w:rsid w:val="00163519"/>
    <w:rsid w:val="0018135F"/>
    <w:rsid w:val="001A17F8"/>
    <w:rsid w:val="001A2D66"/>
    <w:rsid w:val="001A4031"/>
    <w:rsid w:val="001B2EF1"/>
    <w:rsid w:val="001B52B1"/>
    <w:rsid w:val="001C6048"/>
    <w:rsid w:val="001F0BBA"/>
    <w:rsid w:val="001F3CFD"/>
    <w:rsid w:val="00203374"/>
    <w:rsid w:val="00214665"/>
    <w:rsid w:val="002333EE"/>
    <w:rsid w:val="00272047"/>
    <w:rsid w:val="002904B6"/>
    <w:rsid w:val="00294EC7"/>
    <w:rsid w:val="00295E36"/>
    <w:rsid w:val="0029689C"/>
    <w:rsid w:val="002B34F6"/>
    <w:rsid w:val="002F4E04"/>
    <w:rsid w:val="002F5156"/>
    <w:rsid w:val="002F5B2C"/>
    <w:rsid w:val="00304C23"/>
    <w:rsid w:val="003062B4"/>
    <w:rsid w:val="003269C3"/>
    <w:rsid w:val="00350033"/>
    <w:rsid w:val="003813AF"/>
    <w:rsid w:val="00394DC6"/>
    <w:rsid w:val="00395B9D"/>
    <w:rsid w:val="003B7AE3"/>
    <w:rsid w:val="004503A8"/>
    <w:rsid w:val="004C1255"/>
    <w:rsid w:val="004E6602"/>
    <w:rsid w:val="004F1014"/>
    <w:rsid w:val="004F7EF3"/>
    <w:rsid w:val="005071BA"/>
    <w:rsid w:val="00526350"/>
    <w:rsid w:val="005618F5"/>
    <w:rsid w:val="00564257"/>
    <w:rsid w:val="00567BCA"/>
    <w:rsid w:val="00586F6C"/>
    <w:rsid w:val="00590CF7"/>
    <w:rsid w:val="005B1FE3"/>
    <w:rsid w:val="005B795A"/>
    <w:rsid w:val="005C0C1C"/>
    <w:rsid w:val="005D566F"/>
    <w:rsid w:val="005E772C"/>
    <w:rsid w:val="0060650B"/>
    <w:rsid w:val="0060686A"/>
    <w:rsid w:val="006136AF"/>
    <w:rsid w:val="006141A1"/>
    <w:rsid w:val="00630F38"/>
    <w:rsid w:val="00640D60"/>
    <w:rsid w:val="00645348"/>
    <w:rsid w:val="0064792E"/>
    <w:rsid w:val="00664455"/>
    <w:rsid w:val="006762DB"/>
    <w:rsid w:val="006856B0"/>
    <w:rsid w:val="006A1541"/>
    <w:rsid w:val="006B60C4"/>
    <w:rsid w:val="006F63D4"/>
    <w:rsid w:val="006F78CB"/>
    <w:rsid w:val="006F79E9"/>
    <w:rsid w:val="00712BD3"/>
    <w:rsid w:val="00721B32"/>
    <w:rsid w:val="00760C48"/>
    <w:rsid w:val="00761820"/>
    <w:rsid w:val="00774542"/>
    <w:rsid w:val="00784C91"/>
    <w:rsid w:val="007867BF"/>
    <w:rsid w:val="007A5EC0"/>
    <w:rsid w:val="007D3927"/>
    <w:rsid w:val="007D6536"/>
    <w:rsid w:val="0085376D"/>
    <w:rsid w:val="00882EF7"/>
    <w:rsid w:val="008904A3"/>
    <w:rsid w:val="00892D8B"/>
    <w:rsid w:val="008B5B80"/>
    <w:rsid w:val="008B64C3"/>
    <w:rsid w:val="008C3EDA"/>
    <w:rsid w:val="008E6DE6"/>
    <w:rsid w:val="00917CF2"/>
    <w:rsid w:val="00927C08"/>
    <w:rsid w:val="0093058E"/>
    <w:rsid w:val="009315A3"/>
    <w:rsid w:val="00942D44"/>
    <w:rsid w:val="00953906"/>
    <w:rsid w:val="00960422"/>
    <w:rsid w:val="00977DA1"/>
    <w:rsid w:val="00986992"/>
    <w:rsid w:val="009D124B"/>
    <w:rsid w:val="009E2926"/>
    <w:rsid w:val="009E2EC8"/>
    <w:rsid w:val="009F16F3"/>
    <w:rsid w:val="009F7A2E"/>
    <w:rsid w:val="00A01381"/>
    <w:rsid w:val="00A02338"/>
    <w:rsid w:val="00A332B3"/>
    <w:rsid w:val="00A45A17"/>
    <w:rsid w:val="00A81FFC"/>
    <w:rsid w:val="00AC7F71"/>
    <w:rsid w:val="00AE061F"/>
    <w:rsid w:val="00AF1409"/>
    <w:rsid w:val="00B05A8C"/>
    <w:rsid w:val="00B07F3D"/>
    <w:rsid w:val="00B137CF"/>
    <w:rsid w:val="00B13914"/>
    <w:rsid w:val="00B30E01"/>
    <w:rsid w:val="00B52C90"/>
    <w:rsid w:val="00B55BED"/>
    <w:rsid w:val="00B606FF"/>
    <w:rsid w:val="00B65F8F"/>
    <w:rsid w:val="00B731B2"/>
    <w:rsid w:val="00B76988"/>
    <w:rsid w:val="00B8444C"/>
    <w:rsid w:val="00BB7AEA"/>
    <w:rsid w:val="00BD5FEB"/>
    <w:rsid w:val="00BE235B"/>
    <w:rsid w:val="00BF09F1"/>
    <w:rsid w:val="00BF4FDA"/>
    <w:rsid w:val="00BF6E1D"/>
    <w:rsid w:val="00C019D2"/>
    <w:rsid w:val="00C55875"/>
    <w:rsid w:val="00C858BC"/>
    <w:rsid w:val="00C966C3"/>
    <w:rsid w:val="00CA63FD"/>
    <w:rsid w:val="00CB547A"/>
    <w:rsid w:val="00CC7D8D"/>
    <w:rsid w:val="00CD17F8"/>
    <w:rsid w:val="00CD3DEE"/>
    <w:rsid w:val="00CD5FCD"/>
    <w:rsid w:val="00CE15EB"/>
    <w:rsid w:val="00CF1C8B"/>
    <w:rsid w:val="00D21AC2"/>
    <w:rsid w:val="00D42B3D"/>
    <w:rsid w:val="00D83F20"/>
    <w:rsid w:val="00DA1C36"/>
    <w:rsid w:val="00DB5B10"/>
    <w:rsid w:val="00DC34FB"/>
    <w:rsid w:val="00DC3EA9"/>
    <w:rsid w:val="00DD5EF8"/>
    <w:rsid w:val="00DD6687"/>
    <w:rsid w:val="00DD7A57"/>
    <w:rsid w:val="00DE7761"/>
    <w:rsid w:val="00DF095B"/>
    <w:rsid w:val="00E233E6"/>
    <w:rsid w:val="00E23E35"/>
    <w:rsid w:val="00E5650E"/>
    <w:rsid w:val="00E65AB8"/>
    <w:rsid w:val="00E74FC4"/>
    <w:rsid w:val="00E85631"/>
    <w:rsid w:val="00E961F3"/>
    <w:rsid w:val="00EA46E2"/>
    <w:rsid w:val="00EA6245"/>
    <w:rsid w:val="00EE3078"/>
    <w:rsid w:val="00EE5717"/>
    <w:rsid w:val="00F05463"/>
    <w:rsid w:val="00F3144E"/>
    <w:rsid w:val="00F462B4"/>
    <w:rsid w:val="00F46EFB"/>
    <w:rsid w:val="00F55F75"/>
    <w:rsid w:val="00F702B8"/>
    <w:rsid w:val="00F75FEC"/>
    <w:rsid w:val="00F845EC"/>
    <w:rsid w:val="00FC5A87"/>
    <w:rsid w:val="00FD30B7"/>
    <w:rsid w:val="07E825BB"/>
    <w:rsid w:val="0D5E0E82"/>
    <w:rsid w:val="0DEB56B0"/>
    <w:rsid w:val="0EDF3E41"/>
    <w:rsid w:val="0EE61962"/>
    <w:rsid w:val="0F5F1B68"/>
    <w:rsid w:val="0FFC7FDA"/>
    <w:rsid w:val="10103865"/>
    <w:rsid w:val="10143155"/>
    <w:rsid w:val="10D44043"/>
    <w:rsid w:val="112D3617"/>
    <w:rsid w:val="116114EB"/>
    <w:rsid w:val="11902316"/>
    <w:rsid w:val="125A0ED5"/>
    <w:rsid w:val="151024D2"/>
    <w:rsid w:val="15ED418E"/>
    <w:rsid w:val="16DA5820"/>
    <w:rsid w:val="19987176"/>
    <w:rsid w:val="1EA33F59"/>
    <w:rsid w:val="22FC3291"/>
    <w:rsid w:val="253B7BF6"/>
    <w:rsid w:val="28687287"/>
    <w:rsid w:val="2A162131"/>
    <w:rsid w:val="2F2668FE"/>
    <w:rsid w:val="2F9E3737"/>
    <w:rsid w:val="30774076"/>
    <w:rsid w:val="310339CB"/>
    <w:rsid w:val="32604DA4"/>
    <w:rsid w:val="32755446"/>
    <w:rsid w:val="33576819"/>
    <w:rsid w:val="34EA0D5D"/>
    <w:rsid w:val="358A245B"/>
    <w:rsid w:val="368A3B5B"/>
    <w:rsid w:val="38126C10"/>
    <w:rsid w:val="38774E33"/>
    <w:rsid w:val="3D4C5514"/>
    <w:rsid w:val="3FC544D7"/>
    <w:rsid w:val="407A55AC"/>
    <w:rsid w:val="40B84A47"/>
    <w:rsid w:val="41DC1E7A"/>
    <w:rsid w:val="43B1748E"/>
    <w:rsid w:val="43B873C2"/>
    <w:rsid w:val="47E345A2"/>
    <w:rsid w:val="4B497E36"/>
    <w:rsid w:val="516931C6"/>
    <w:rsid w:val="517E2DC9"/>
    <w:rsid w:val="51CC6B8D"/>
    <w:rsid w:val="52B503DE"/>
    <w:rsid w:val="54871BB9"/>
    <w:rsid w:val="578A1519"/>
    <w:rsid w:val="5AAA1526"/>
    <w:rsid w:val="5B7177C0"/>
    <w:rsid w:val="5BDD6EAB"/>
    <w:rsid w:val="5BE13F3E"/>
    <w:rsid w:val="5C777B12"/>
    <w:rsid w:val="5CC377EB"/>
    <w:rsid w:val="5CFC1731"/>
    <w:rsid w:val="6029539C"/>
    <w:rsid w:val="61574337"/>
    <w:rsid w:val="61B667D3"/>
    <w:rsid w:val="62472413"/>
    <w:rsid w:val="628375EC"/>
    <w:rsid w:val="63650325"/>
    <w:rsid w:val="638D2B24"/>
    <w:rsid w:val="65336899"/>
    <w:rsid w:val="65B57113"/>
    <w:rsid w:val="663D530E"/>
    <w:rsid w:val="67324A09"/>
    <w:rsid w:val="69163354"/>
    <w:rsid w:val="6BCC78CE"/>
    <w:rsid w:val="6DF32648"/>
    <w:rsid w:val="6FB90AD6"/>
    <w:rsid w:val="71594709"/>
    <w:rsid w:val="7481619E"/>
    <w:rsid w:val="74A076BB"/>
    <w:rsid w:val="7587012F"/>
    <w:rsid w:val="778C1C90"/>
    <w:rsid w:val="77BB13E2"/>
    <w:rsid w:val="77D00B97"/>
    <w:rsid w:val="79EE763B"/>
    <w:rsid w:val="7A5416CA"/>
    <w:rsid w:val="7DC30A6D"/>
    <w:rsid w:val="7E8D0BED"/>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4">
    <w:name w:val="heading 1"/>
    <w:basedOn w:val="1"/>
    <w:next w:val="1"/>
    <w:link w:val="17"/>
    <w:qFormat/>
    <w:uiPriority w:val="0"/>
    <w:pPr>
      <w:keepNext/>
      <w:keepLines/>
      <w:snapToGrid w:val="0"/>
      <w:spacing w:line="360" w:lineRule="auto"/>
      <w:ind w:firstLine="640" w:firstLineChars="200"/>
      <w:jc w:val="left"/>
      <w:outlineLvl w:val="0"/>
    </w:pPr>
    <w:rPr>
      <w:rFonts w:ascii="黑体" w:hAnsi="黑体" w:eastAsia="黑体" w:cs="Times New Roman"/>
      <w:bCs/>
      <w:kern w:val="44"/>
      <w:sz w:val="32"/>
      <w:szCs w:val="32"/>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customStyle="1" w:styleId="2">
    <w:name w:val="章标题"/>
    <w:basedOn w:val="1"/>
    <w:next w:val="3"/>
    <w:qFormat/>
    <w:uiPriority w:val="0"/>
    <w:pPr>
      <w:widowControl/>
      <w:spacing w:line="323" w:lineRule="atLeast"/>
      <w:ind w:right="-120"/>
      <w:jc w:val="center"/>
      <w:textAlignment w:val="baseline"/>
    </w:pPr>
    <w:rPr>
      <w:color w:val="FF0000"/>
      <w:kern w:val="0"/>
      <w:sz w:val="18"/>
      <w:szCs w:val="18"/>
    </w:rPr>
  </w:style>
  <w:style w:type="paragraph" w:customStyle="1" w:styleId="3">
    <w:name w:val="节标题"/>
    <w:basedOn w:val="1"/>
    <w:next w:val="1"/>
    <w:qFormat/>
    <w:uiPriority w:val="0"/>
    <w:pPr>
      <w:widowControl/>
      <w:spacing w:line="289" w:lineRule="atLeast"/>
      <w:jc w:val="center"/>
      <w:textAlignment w:val="baseline"/>
    </w:pPr>
    <w:rPr>
      <w:color w:val="000000"/>
      <w:kern w:val="0"/>
      <w:sz w:val="28"/>
      <w:szCs w:val="20"/>
      <w:u w:color="000000"/>
    </w:rPr>
  </w:style>
  <w:style w:type="paragraph" w:styleId="5">
    <w:name w:val="Document Map"/>
    <w:basedOn w:val="1"/>
    <w:link w:val="22"/>
    <w:semiHidden/>
    <w:unhideWhenUsed/>
    <w:qFormat/>
    <w:uiPriority w:val="99"/>
    <w:rPr>
      <w:rFonts w:ascii="宋体" w:eastAsia="宋体"/>
      <w:sz w:val="18"/>
      <w:szCs w:val="18"/>
    </w:rPr>
  </w:style>
  <w:style w:type="paragraph" w:styleId="6">
    <w:name w:val="annotation text"/>
    <w:basedOn w:val="1"/>
    <w:link w:val="23"/>
    <w:semiHidden/>
    <w:unhideWhenUsed/>
    <w:qFormat/>
    <w:uiPriority w:val="99"/>
    <w:pPr>
      <w:jc w:val="left"/>
    </w:pPr>
  </w:style>
  <w:style w:type="paragraph" w:styleId="7">
    <w:name w:val="Body Text Indent"/>
    <w:basedOn w:val="1"/>
    <w:link w:val="18"/>
    <w:qFormat/>
    <w:uiPriority w:val="0"/>
    <w:pPr>
      <w:widowControl/>
      <w:ind w:firstLine="675"/>
    </w:pPr>
    <w:rPr>
      <w:rFonts w:eastAsia="宋体"/>
      <w:sz w:val="28"/>
      <w:szCs w:val="28"/>
    </w:rPr>
  </w:style>
  <w:style w:type="paragraph" w:styleId="8">
    <w:name w:val="Balloon Text"/>
    <w:basedOn w:val="1"/>
    <w:link w:val="20"/>
    <w:unhideWhenUsed/>
    <w:qFormat/>
    <w:uiPriority w:val="99"/>
    <w:rPr>
      <w:sz w:val="18"/>
      <w:szCs w:val="18"/>
    </w:rPr>
  </w:style>
  <w:style w:type="paragraph" w:styleId="9">
    <w:name w:val="footer"/>
    <w:basedOn w:val="1"/>
    <w:link w:val="19"/>
    <w:unhideWhenUsed/>
    <w:qFormat/>
    <w:uiPriority w:val="99"/>
    <w:pPr>
      <w:tabs>
        <w:tab w:val="center" w:pos="4153"/>
        <w:tab w:val="right" w:pos="8306"/>
      </w:tabs>
      <w:snapToGrid w:val="0"/>
      <w:jc w:val="left"/>
    </w:pPr>
    <w:rPr>
      <w:sz w:val="18"/>
      <w:szCs w:val="18"/>
    </w:rPr>
  </w:style>
  <w:style w:type="paragraph" w:styleId="10">
    <w:name w:val="header"/>
    <w:basedOn w:val="1"/>
    <w:link w:val="21"/>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annotation subject"/>
    <w:basedOn w:val="6"/>
    <w:next w:val="6"/>
    <w:link w:val="24"/>
    <w:semiHidden/>
    <w:unhideWhenUsed/>
    <w:qFormat/>
    <w:uiPriority w:val="99"/>
    <w:rPr>
      <w:b/>
      <w:bCs/>
    </w:rPr>
  </w:style>
  <w:style w:type="table" w:styleId="13">
    <w:name w:val="Table Grid"/>
    <w:basedOn w:val="12"/>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5">
    <w:name w:val="page number"/>
    <w:basedOn w:val="14"/>
    <w:qFormat/>
    <w:uiPriority w:val="0"/>
  </w:style>
  <w:style w:type="character" w:styleId="16">
    <w:name w:val="annotation reference"/>
    <w:basedOn w:val="14"/>
    <w:semiHidden/>
    <w:unhideWhenUsed/>
    <w:qFormat/>
    <w:uiPriority w:val="99"/>
    <w:rPr>
      <w:sz w:val="21"/>
      <w:szCs w:val="21"/>
    </w:rPr>
  </w:style>
  <w:style w:type="character" w:customStyle="1" w:styleId="17">
    <w:name w:val="标题 1 Char"/>
    <w:basedOn w:val="14"/>
    <w:link w:val="4"/>
    <w:qFormat/>
    <w:uiPriority w:val="0"/>
    <w:rPr>
      <w:rFonts w:ascii="黑体" w:hAnsi="黑体" w:eastAsia="黑体" w:cs="Times New Roman"/>
      <w:bCs/>
      <w:kern w:val="44"/>
      <w:sz w:val="32"/>
      <w:szCs w:val="32"/>
    </w:rPr>
  </w:style>
  <w:style w:type="character" w:customStyle="1" w:styleId="18">
    <w:name w:val="正文文本缩进 Char"/>
    <w:basedOn w:val="14"/>
    <w:link w:val="7"/>
    <w:qFormat/>
    <w:uiPriority w:val="0"/>
    <w:rPr>
      <w:rFonts w:eastAsia="宋体"/>
      <w:sz w:val="28"/>
      <w:szCs w:val="28"/>
    </w:rPr>
  </w:style>
  <w:style w:type="character" w:customStyle="1" w:styleId="19">
    <w:name w:val="页脚 Char"/>
    <w:basedOn w:val="14"/>
    <w:link w:val="9"/>
    <w:qFormat/>
    <w:uiPriority w:val="99"/>
    <w:rPr>
      <w:sz w:val="18"/>
      <w:szCs w:val="18"/>
    </w:rPr>
  </w:style>
  <w:style w:type="character" w:customStyle="1" w:styleId="20">
    <w:name w:val="批注框文本 Char"/>
    <w:basedOn w:val="14"/>
    <w:link w:val="8"/>
    <w:semiHidden/>
    <w:qFormat/>
    <w:uiPriority w:val="99"/>
    <w:rPr>
      <w:sz w:val="18"/>
      <w:szCs w:val="18"/>
    </w:rPr>
  </w:style>
  <w:style w:type="character" w:customStyle="1" w:styleId="21">
    <w:name w:val="页眉 Char"/>
    <w:basedOn w:val="14"/>
    <w:link w:val="10"/>
    <w:qFormat/>
    <w:uiPriority w:val="99"/>
    <w:rPr>
      <w:sz w:val="18"/>
      <w:szCs w:val="18"/>
    </w:rPr>
  </w:style>
  <w:style w:type="character" w:customStyle="1" w:styleId="22">
    <w:name w:val="文档结构图 Char"/>
    <w:basedOn w:val="14"/>
    <w:link w:val="5"/>
    <w:semiHidden/>
    <w:qFormat/>
    <w:uiPriority w:val="99"/>
    <w:rPr>
      <w:rFonts w:ascii="宋体" w:eastAsia="宋体"/>
      <w:kern w:val="2"/>
      <w:sz w:val="18"/>
      <w:szCs w:val="18"/>
    </w:rPr>
  </w:style>
  <w:style w:type="character" w:customStyle="1" w:styleId="23">
    <w:name w:val="批注文字 Char"/>
    <w:basedOn w:val="14"/>
    <w:link w:val="6"/>
    <w:semiHidden/>
    <w:qFormat/>
    <w:uiPriority w:val="99"/>
    <w:rPr>
      <w:rFonts w:asciiTheme="minorHAnsi" w:hAnsiTheme="minorHAnsi" w:eastAsiaTheme="minorEastAsia" w:cstheme="minorBidi"/>
      <w:kern w:val="2"/>
      <w:sz w:val="21"/>
      <w:szCs w:val="22"/>
    </w:rPr>
  </w:style>
  <w:style w:type="character" w:customStyle="1" w:styleId="24">
    <w:name w:val="批注主题 Char"/>
    <w:basedOn w:val="23"/>
    <w:link w:val="11"/>
    <w:semiHidden/>
    <w:qFormat/>
    <w:uiPriority w:val="99"/>
    <w:rPr>
      <w:rFonts w:asciiTheme="minorHAnsi" w:hAnsiTheme="minorHAnsi" w:eastAsiaTheme="minorEastAsia" w:cstheme="minorBidi"/>
      <w:b/>
      <w:bCs/>
      <w:kern w:val="2"/>
      <w:sz w:val="21"/>
      <w:szCs w:val="22"/>
    </w:rPr>
  </w:style>
  <w:style w:type="character" w:customStyle="1" w:styleId="25">
    <w:name w:val="样式 小四 蓝色 首行缩进:  0.85 厘米 行距: 多倍行距 1.4 字行 Char"/>
    <w:link w:val="26"/>
    <w:qFormat/>
    <w:uiPriority w:val="0"/>
    <w:rPr>
      <w:rFonts w:cs="宋体"/>
      <w:color w:val="0000FF"/>
      <w:sz w:val="24"/>
      <w:szCs w:val="20"/>
    </w:rPr>
  </w:style>
  <w:style w:type="paragraph" w:customStyle="1" w:styleId="26">
    <w:name w:val="样式 小四 蓝色 首行缩进:  0.85 厘米 行距: 多倍行距 1.4 字行"/>
    <w:basedOn w:val="1"/>
    <w:link w:val="25"/>
    <w:qFormat/>
    <w:uiPriority w:val="0"/>
    <w:pPr>
      <w:spacing w:line="336" w:lineRule="auto"/>
      <w:ind w:firstLine="482"/>
    </w:pPr>
    <w:rPr>
      <w:rFonts w:cs="宋体"/>
      <w:color w:val="0000FF"/>
      <w:sz w:val="24"/>
      <w:szCs w:val="20"/>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image" Target="media/image1.tiff"/><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JDC</Company>
  <Pages>8</Pages>
  <Words>557</Words>
  <Characters>3180</Characters>
  <Lines>26</Lines>
  <Paragraphs>7</Paragraphs>
  <TotalTime>32</TotalTime>
  <ScaleCrop>false</ScaleCrop>
  <LinksUpToDate>false</LinksUpToDate>
  <CharactersWithSpaces>3730</CharactersWithSpaces>
  <Application>WPS Office_11.1.0.9828_F1E327BC-269C-435d-A152-05C5408002CA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2018-07-27T06:33:00Z</dcterms:created>
  <dc:creator>LIUYu</dc:creator>
  <cp:lastModifiedBy>南柯一梦</cp:lastModifiedBy>
  <cp:lastPrinted>2017-10-23T01:20:00Z</cp:lastPrinted>
  <dcterms:modified xsi:type="dcterms:W3CDTF">2020-08-05T02:22:46Z</dcterms:modified>
  <cp:revision>65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2052-11.1.0.9828</vt:lpwstr>
  </property>
</Properties>
</file>